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20" w:rsidRPr="00423B0F" w:rsidRDefault="00202FB3" w:rsidP="00202FB3">
      <w:pPr>
        <w:rPr>
          <w:b/>
          <w:szCs w:val="24"/>
          <w:lang w:val="uk-UA"/>
        </w:rPr>
      </w:pPr>
      <w:r w:rsidRPr="00423B0F">
        <w:rPr>
          <w:szCs w:val="24"/>
          <w:lang w:val="uk-UA"/>
        </w:rPr>
        <w:t xml:space="preserve">    </w:t>
      </w:r>
      <w:r w:rsidRPr="00423B0F">
        <w:rPr>
          <w:b/>
          <w:szCs w:val="24"/>
          <w:lang w:val="uk-UA"/>
        </w:rPr>
        <w:t>Приватне акціонерне товариство «Слов‘янський крейдо-вапняний завод»</w:t>
      </w:r>
      <w:r w:rsidR="00514F1F" w:rsidRPr="00423B0F">
        <w:rPr>
          <w:b/>
          <w:szCs w:val="24"/>
          <w:lang w:val="uk-UA"/>
        </w:rPr>
        <w:t xml:space="preserve"> </w:t>
      </w:r>
    </w:p>
    <w:p w:rsidR="00202FB3" w:rsidRPr="00423B0F" w:rsidRDefault="00514F1F" w:rsidP="00202FB3">
      <w:pPr>
        <w:rPr>
          <w:szCs w:val="24"/>
          <w:lang w:val="uk-UA"/>
        </w:rPr>
      </w:pPr>
      <w:r w:rsidRPr="00423B0F">
        <w:rPr>
          <w:szCs w:val="24"/>
          <w:lang w:val="uk-UA"/>
        </w:rPr>
        <w:t xml:space="preserve">яке знаходиться за адресою: </w:t>
      </w:r>
      <w:r w:rsidR="00202FB3" w:rsidRPr="00423B0F">
        <w:rPr>
          <w:szCs w:val="24"/>
          <w:lang w:val="uk-UA"/>
        </w:rPr>
        <w:t xml:space="preserve"> смт. Черкаське, Слов‘янського району, Донецької області</w:t>
      </w:r>
    </w:p>
    <w:p w:rsidR="00202FB3" w:rsidRPr="00423B0F" w:rsidRDefault="00202FB3" w:rsidP="00202FB3">
      <w:pPr>
        <w:rPr>
          <w:szCs w:val="24"/>
          <w:lang w:val="uk-UA"/>
        </w:rPr>
      </w:pPr>
      <w:r w:rsidRPr="00423B0F">
        <w:rPr>
          <w:szCs w:val="24"/>
          <w:lang w:val="uk-UA"/>
        </w:rPr>
        <w:t xml:space="preserve">   </w:t>
      </w:r>
    </w:p>
    <w:p w:rsidR="00202FB3" w:rsidRPr="00423B0F" w:rsidRDefault="00202FB3" w:rsidP="00202FB3">
      <w:pPr>
        <w:rPr>
          <w:szCs w:val="24"/>
          <w:lang w:val="uk-UA"/>
        </w:rPr>
      </w:pPr>
      <w:r w:rsidRPr="00423B0F">
        <w:rPr>
          <w:szCs w:val="24"/>
          <w:lang w:val="uk-UA"/>
        </w:rPr>
        <w:t xml:space="preserve">    </w:t>
      </w:r>
      <w:r w:rsidR="00514F1F" w:rsidRPr="00423B0F">
        <w:rPr>
          <w:szCs w:val="24"/>
          <w:lang w:val="uk-UA"/>
        </w:rPr>
        <w:t>П</w:t>
      </w:r>
      <w:r w:rsidRPr="00423B0F">
        <w:rPr>
          <w:szCs w:val="24"/>
          <w:lang w:val="uk-UA"/>
        </w:rPr>
        <w:t>овідомляє про проведення</w:t>
      </w:r>
      <w:r w:rsidR="00514F1F" w:rsidRPr="00423B0F">
        <w:rPr>
          <w:szCs w:val="24"/>
          <w:lang w:val="uk-UA"/>
        </w:rPr>
        <w:t xml:space="preserve"> чергових</w:t>
      </w:r>
      <w:r w:rsidRPr="00423B0F">
        <w:rPr>
          <w:szCs w:val="24"/>
          <w:lang w:val="uk-UA"/>
        </w:rPr>
        <w:t xml:space="preserve"> загальних зборів</w:t>
      </w:r>
      <w:r w:rsidR="00514F1F" w:rsidRPr="00423B0F">
        <w:rPr>
          <w:szCs w:val="24"/>
          <w:lang w:val="uk-UA"/>
        </w:rPr>
        <w:t xml:space="preserve"> акціонерів які відбудуться </w:t>
      </w:r>
      <w:r w:rsidR="00F209D7">
        <w:rPr>
          <w:szCs w:val="24"/>
          <w:lang w:val="uk-UA"/>
        </w:rPr>
        <w:t>30 квітня 2021</w:t>
      </w:r>
      <w:r w:rsidRPr="00423B0F">
        <w:rPr>
          <w:szCs w:val="24"/>
          <w:lang w:val="uk-UA"/>
        </w:rPr>
        <w:t xml:space="preserve"> року о 10.00 годині в залі засідань </w:t>
      </w:r>
      <w:proofErr w:type="spellStart"/>
      <w:r w:rsidRPr="00423B0F">
        <w:rPr>
          <w:szCs w:val="24"/>
          <w:lang w:val="uk-UA"/>
        </w:rPr>
        <w:t>адмін</w:t>
      </w:r>
      <w:proofErr w:type="spellEnd"/>
      <w:r w:rsidR="00D97326">
        <w:rPr>
          <w:szCs w:val="24"/>
          <w:lang w:val="uk-UA"/>
        </w:rPr>
        <w:t xml:space="preserve">. </w:t>
      </w:r>
      <w:r w:rsidRPr="00423B0F">
        <w:rPr>
          <w:szCs w:val="24"/>
          <w:lang w:val="uk-UA"/>
        </w:rPr>
        <w:t>будівлі</w:t>
      </w:r>
      <w:r w:rsidR="009B5801" w:rsidRPr="00423B0F">
        <w:rPr>
          <w:szCs w:val="24"/>
          <w:lang w:val="uk-UA"/>
        </w:rPr>
        <w:t xml:space="preserve"> товариства</w:t>
      </w:r>
      <w:r w:rsidRPr="00423B0F">
        <w:rPr>
          <w:szCs w:val="24"/>
          <w:lang w:val="uk-UA"/>
        </w:rPr>
        <w:t xml:space="preserve">, яка розташована за </w:t>
      </w:r>
      <w:proofErr w:type="spellStart"/>
      <w:r w:rsidRPr="00423B0F">
        <w:rPr>
          <w:szCs w:val="24"/>
          <w:lang w:val="uk-UA"/>
        </w:rPr>
        <w:t>адресою</w:t>
      </w:r>
      <w:proofErr w:type="spellEnd"/>
      <w:r w:rsidRPr="00423B0F">
        <w:rPr>
          <w:szCs w:val="24"/>
          <w:lang w:val="uk-UA"/>
        </w:rPr>
        <w:t xml:space="preserve"> 84162, смт. Черкаське, Слов‘янського району, Донецької області.</w:t>
      </w:r>
    </w:p>
    <w:p w:rsidR="00202FB3" w:rsidRPr="00423B0F" w:rsidRDefault="00202FB3" w:rsidP="00202FB3">
      <w:pPr>
        <w:rPr>
          <w:szCs w:val="24"/>
          <w:lang w:val="uk-UA"/>
        </w:rPr>
      </w:pPr>
    </w:p>
    <w:p w:rsidR="00202FB3" w:rsidRPr="00423B0F" w:rsidRDefault="00202FB3" w:rsidP="00202FB3">
      <w:pPr>
        <w:rPr>
          <w:szCs w:val="24"/>
          <w:lang w:val="uk-UA"/>
        </w:rPr>
      </w:pPr>
      <w:r w:rsidRPr="00423B0F">
        <w:rPr>
          <w:szCs w:val="24"/>
          <w:lang w:val="uk-UA"/>
        </w:rPr>
        <w:t>Початок реєстрації о 9.00 годині.</w:t>
      </w:r>
    </w:p>
    <w:p w:rsidR="00202FB3" w:rsidRPr="00423B0F" w:rsidRDefault="00202FB3" w:rsidP="00202FB3">
      <w:pPr>
        <w:rPr>
          <w:szCs w:val="24"/>
          <w:lang w:val="uk-UA"/>
        </w:rPr>
      </w:pPr>
      <w:r w:rsidRPr="00423B0F">
        <w:rPr>
          <w:szCs w:val="24"/>
          <w:lang w:val="uk-UA"/>
        </w:rPr>
        <w:t>Закінчення реєстрації о 9.45 годині.</w:t>
      </w:r>
    </w:p>
    <w:p w:rsidR="00202FB3" w:rsidRPr="00423B0F" w:rsidRDefault="00831AC6" w:rsidP="00821F12">
      <w:pPr>
        <w:ind w:left="142"/>
        <w:rPr>
          <w:szCs w:val="24"/>
          <w:shd w:val="clear" w:color="auto" w:fill="FFFFFF"/>
          <w:lang w:val="uk-UA"/>
        </w:rPr>
      </w:pPr>
      <w:r w:rsidRPr="00423B0F">
        <w:rPr>
          <w:szCs w:val="24"/>
          <w:shd w:val="clear" w:color="auto" w:fill="FFFFFF"/>
          <w:lang w:val="uk-UA"/>
        </w:rPr>
        <w:t xml:space="preserve">Перелік акціонерів ПрАТ «Слов’янський крейдо-вапняний завод», які мають право на участь у чергових загальних зборах акціонерів, буде складений станом на 24 годину </w:t>
      </w:r>
      <w:r w:rsidR="00F209D7" w:rsidRPr="00F209D7">
        <w:rPr>
          <w:szCs w:val="24"/>
          <w:shd w:val="clear" w:color="auto" w:fill="FFFFFF"/>
        </w:rPr>
        <w:t>26.04.2021</w:t>
      </w:r>
      <w:r w:rsidRPr="00423B0F">
        <w:rPr>
          <w:szCs w:val="24"/>
          <w:shd w:val="clear" w:color="auto" w:fill="FFFFFF"/>
          <w:lang w:val="uk-UA"/>
        </w:rPr>
        <w:t xml:space="preserve"> року (за три робочих дні до дня проведення чергових</w:t>
      </w:r>
      <w:r w:rsidR="001E4589" w:rsidRPr="00423B0F">
        <w:rPr>
          <w:szCs w:val="24"/>
          <w:shd w:val="clear" w:color="auto" w:fill="FFFFFF"/>
          <w:lang w:val="uk-UA"/>
        </w:rPr>
        <w:t xml:space="preserve"> загальних</w:t>
      </w:r>
      <w:r w:rsidRPr="00423B0F">
        <w:rPr>
          <w:szCs w:val="24"/>
          <w:shd w:val="clear" w:color="auto" w:fill="FFFFFF"/>
          <w:lang w:val="uk-UA"/>
        </w:rPr>
        <w:t xml:space="preserve"> зборів) у порядку, встановленому чинним законодавством про депозитарну систему України.</w:t>
      </w:r>
    </w:p>
    <w:p w:rsidR="00202FB3" w:rsidRPr="00423B0F" w:rsidRDefault="00202FB3" w:rsidP="00202FB3">
      <w:pPr>
        <w:rPr>
          <w:szCs w:val="24"/>
          <w:lang w:val="uk-UA"/>
        </w:rPr>
      </w:pPr>
    </w:p>
    <w:p w:rsidR="007C0E1E" w:rsidRPr="00423B0F" w:rsidRDefault="007C0E1E" w:rsidP="007C0E1E">
      <w:pPr>
        <w:jc w:val="both"/>
        <w:rPr>
          <w:b/>
          <w:szCs w:val="24"/>
          <w:lang w:val="uk-UA"/>
        </w:rPr>
      </w:pPr>
      <w:r w:rsidRPr="00423B0F">
        <w:rPr>
          <w:b/>
          <w:szCs w:val="24"/>
          <w:lang w:val="uk-UA"/>
        </w:rPr>
        <w:t>Попередньо затверджений порядок денний до чергових загальних зборів акціонерів</w:t>
      </w:r>
      <w:r w:rsidR="00367215" w:rsidRPr="00423B0F">
        <w:rPr>
          <w:b/>
          <w:szCs w:val="24"/>
          <w:lang w:val="uk-UA"/>
        </w:rPr>
        <w:t xml:space="preserve"> та проекти рішень по кожному з питань порядку денного</w:t>
      </w:r>
      <w:r w:rsidRPr="00423B0F">
        <w:rPr>
          <w:b/>
          <w:szCs w:val="24"/>
          <w:lang w:val="uk-UA"/>
        </w:rPr>
        <w:t>:</w:t>
      </w:r>
    </w:p>
    <w:p w:rsidR="00367215" w:rsidRPr="00423B0F" w:rsidRDefault="00367215" w:rsidP="007C0E1E">
      <w:pPr>
        <w:jc w:val="both"/>
        <w:rPr>
          <w:b/>
          <w:szCs w:val="24"/>
          <w:lang w:val="uk-UA"/>
        </w:rPr>
      </w:pPr>
    </w:p>
    <w:p w:rsidR="007C0E1E" w:rsidRPr="00423B0F" w:rsidRDefault="007C0E1E" w:rsidP="00367215">
      <w:pPr>
        <w:pStyle w:val="a8"/>
        <w:numPr>
          <w:ilvl w:val="0"/>
          <w:numId w:val="17"/>
        </w:numPr>
        <w:jc w:val="both"/>
        <w:rPr>
          <w:rFonts w:ascii="Times New Roman" w:hAnsi="Times New Roman"/>
          <w:b/>
          <w:sz w:val="24"/>
          <w:szCs w:val="24"/>
          <w:lang w:val="uk-UA"/>
        </w:rPr>
      </w:pPr>
      <w:r w:rsidRPr="00423B0F">
        <w:rPr>
          <w:rFonts w:ascii="Times New Roman" w:hAnsi="Times New Roman"/>
          <w:b/>
          <w:sz w:val="24"/>
          <w:szCs w:val="24"/>
          <w:lang w:val="uk-UA"/>
        </w:rPr>
        <w:t>Обрання голови і секретаря загальних зборів та затвердження регламенту роботи зборів.</w:t>
      </w:r>
    </w:p>
    <w:p w:rsidR="00367215" w:rsidRPr="00423B0F" w:rsidRDefault="00367215" w:rsidP="00367215">
      <w:pPr>
        <w:pStyle w:val="a8"/>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367215" w:rsidRPr="00423B0F" w:rsidRDefault="00367215" w:rsidP="00367215">
      <w:pPr>
        <w:pStyle w:val="a8"/>
        <w:jc w:val="both"/>
        <w:rPr>
          <w:rFonts w:ascii="Times New Roman" w:hAnsi="Times New Roman"/>
          <w:sz w:val="24"/>
          <w:szCs w:val="24"/>
          <w:lang w:val="uk-UA"/>
        </w:rPr>
      </w:pPr>
      <w:r w:rsidRPr="00423B0F">
        <w:rPr>
          <w:rFonts w:ascii="Times New Roman" w:hAnsi="Times New Roman"/>
          <w:sz w:val="24"/>
          <w:szCs w:val="24"/>
          <w:lang w:val="uk-UA"/>
        </w:rPr>
        <w:t xml:space="preserve">Обрати Головою чергових Загальних зборів Приватного акціонерного товариства «Слов’янський крейдо-вапняний завод» </w:t>
      </w:r>
      <w:r w:rsidRPr="00423B0F">
        <w:rPr>
          <w:rFonts w:ascii="Times New Roman" w:hAnsi="Times New Roman"/>
          <w:sz w:val="24"/>
          <w:szCs w:val="24"/>
          <w:lang w:val="uk-UA" w:bidi="ru-RU"/>
        </w:rPr>
        <w:t xml:space="preserve">Савченко </w:t>
      </w:r>
      <w:r w:rsidRPr="00423B0F">
        <w:rPr>
          <w:rFonts w:ascii="Times New Roman" w:hAnsi="Times New Roman"/>
          <w:sz w:val="24"/>
          <w:szCs w:val="24"/>
          <w:lang w:val="uk-UA"/>
        </w:rPr>
        <w:t>Володимира Ілліча. Секретарем чергових Загальних зборів Приватного акціонерного товариства «Слов’янський крейдо-вапняний завод» обрати Копил Віталія Сергійовича. Затвердити регламент роботи зборів.</w:t>
      </w:r>
    </w:p>
    <w:p w:rsidR="007C0E1E" w:rsidRPr="00423B0F" w:rsidRDefault="007C0E1E" w:rsidP="00367215">
      <w:pPr>
        <w:pStyle w:val="a8"/>
        <w:numPr>
          <w:ilvl w:val="0"/>
          <w:numId w:val="17"/>
        </w:numPr>
        <w:jc w:val="both"/>
        <w:rPr>
          <w:rFonts w:ascii="Times New Roman" w:hAnsi="Times New Roman"/>
          <w:b/>
          <w:sz w:val="24"/>
          <w:szCs w:val="24"/>
          <w:lang w:val="uk-UA"/>
        </w:rPr>
      </w:pPr>
      <w:r w:rsidRPr="00423B0F">
        <w:rPr>
          <w:rFonts w:ascii="Times New Roman" w:hAnsi="Times New Roman"/>
          <w:b/>
          <w:sz w:val="24"/>
          <w:szCs w:val="24"/>
          <w:lang w:val="uk-UA"/>
        </w:rPr>
        <w:t>Обрання членів лічильної комісії.</w:t>
      </w:r>
    </w:p>
    <w:p w:rsidR="00367215" w:rsidRPr="00423B0F" w:rsidRDefault="00367215" w:rsidP="00367215">
      <w:pPr>
        <w:pStyle w:val="a8"/>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5C5911" w:rsidRPr="005C5911" w:rsidRDefault="005C5911" w:rsidP="005C5911">
      <w:pPr>
        <w:pStyle w:val="a8"/>
        <w:jc w:val="both"/>
        <w:rPr>
          <w:rFonts w:ascii="Times New Roman" w:eastAsia="Microsoft Sans Serif" w:hAnsi="Times New Roman"/>
          <w:sz w:val="24"/>
          <w:szCs w:val="24"/>
          <w:lang w:val="uk-UA" w:eastAsia="uk-UA" w:bidi="uk-UA"/>
        </w:rPr>
      </w:pPr>
      <w:r w:rsidRPr="005C5911">
        <w:rPr>
          <w:rFonts w:ascii="Times New Roman" w:eastAsia="Microsoft Sans Serif" w:hAnsi="Times New Roman"/>
          <w:sz w:val="24"/>
          <w:szCs w:val="24"/>
          <w:lang w:val="uk-UA" w:eastAsia="uk-UA" w:bidi="uk-UA"/>
        </w:rPr>
        <w:t>Обрати лічильну комісію чергових Загальних зборів Приватного акціонерного товариства «Слов’янський крейдо-вапняний завод» у наступному складі:</w:t>
      </w:r>
    </w:p>
    <w:p w:rsidR="00E4558F" w:rsidRPr="00E4558F" w:rsidRDefault="00E4558F" w:rsidP="00E4558F">
      <w:pPr>
        <w:pStyle w:val="a8"/>
        <w:numPr>
          <w:ilvl w:val="0"/>
          <w:numId w:val="20"/>
        </w:numPr>
        <w:jc w:val="both"/>
        <w:rPr>
          <w:rFonts w:ascii="Times New Roman" w:eastAsia="Microsoft Sans Serif" w:hAnsi="Times New Roman"/>
          <w:sz w:val="24"/>
          <w:szCs w:val="24"/>
          <w:lang w:val="uk-UA" w:eastAsia="uk-UA" w:bidi="uk-UA"/>
        </w:rPr>
      </w:pPr>
      <w:r w:rsidRPr="00E4558F">
        <w:rPr>
          <w:rFonts w:ascii="Times New Roman" w:eastAsia="Microsoft Sans Serif" w:hAnsi="Times New Roman"/>
          <w:sz w:val="24"/>
          <w:szCs w:val="24"/>
          <w:lang w:val="uk-UA" w:eastAsia="uk-UA" w:bidi="uk-UA"/>
        </w:rPr>
        <w:t xml:space="preserve">Голова лічильної комісії – </w:t>
      </w:r>
      <w:proofErr w:type="spellStart"/>
      <w:r w:rsidRPr="00E4558F">
        <w:rPr>
          <w:rFonts w:ascii="Times New Roman" w:eastAsia="Microsoft Sans Serif" w:hAnsi="Times New Roman"/>
          <w:sz w:val="24"/>
          <w:szCs w:val="24"/>
          <w:lang w:val="uk-UA" w:eastAsia="uk-UA" w:bidi="uk-UA"/>
        </w:rPr>
        <w:t>Ісик</w:t>
      </w:r>
      <w:proofErr w:type="spellEnd"/>
      <w:r w:rsidRPr="00E4558F">
        <w:rPr>
          <w:rFonts w:ascii="Times New Roman" w:eastAsia="Microsoft Sans Serif" w:hAnsi="Times New Roman"/>
          <w:sz w:val="24"/>
          <w:szCs w:val="24"/>
          <w:lang w:val="uk-UA" w:eastAsia="uk-UA" w:bidi="uk-UA"/>
        </w:rPr>
        <w:t xml:space="preserve"> Людмила Миколаївна </w:t>
      </w:r>
    </w:p>
    <w:p w:rsidR="00E4558F" w:rsidRPr="00E4558F" w:rsidRDefault="00E4558F" w:rsidP="00E4558F">
      <w:pPr>
        <w:pStyle w:val="a8"/>
        <w:numPr>
          <w:ilvl w:val="0"/>
          <w:numId w:val="20"/>
        </w:numPr>
        <w:jc w:val="both"/>
        <w:rPr>
          <w:rFonts w:ascii="Times New Roman" w:eastAsia="Microsoft Sans Serif" w:hAnsi="Times New Roman"/>
          <w:sz w:val="24"/>
          <w:szCs w:val="24"/>
          <w:lang w:val="uk-UA" w:eastAsia="uk-UA" w:bidi="uk-UA"/>
        </w:rPr>
      </w:pPr>
      <w:r w:rsidRPr="00E4558F">
        <w:rPr>
          <w:rFonts w:ascii="Times New Roman" w:eastAsia="Microsoft Sans Serif" w:hAnsi="Times New Roman"/>
          <w:sz w:val="24"/>
          <w:szCs w:val="24"/>
          <w:lang w:val="uk-UA" w:eastAsia="uk-UA" w:bidi="uk-UA"/>
        </w:rPr>
        <w:t xml:space="preserve">Члени лічильної комісії – </w:t>
      </w:r>
      <w:proofErr w:type="spellStart"/>
      <w:r w:rsidRPr="00E4558F">
        <w:rPr>
          <w:rFonts w:ascii="Times New Roman" w:eastAsia="Microsoft Sans Serif" w:hAnsi="Times New Roman"/>
          <w:sz w:val="24"/>
          <w:szCs w:val="24"/>
          <w:lang w:val="uk-UA" w:eastAsia="uk-UA" w:bidi="uk-UA"/>
        </w:rPr>
        <w:t>Булихова</w:t>
      </w:r>
      <w:proofErr w:type="spellEnd"/>
      <w:r w:rsidRPr="00E4558F">
        <w:rPr>
          <w:rFonts w:ascii="Times New Roman" w:eastAsia="Microsoft Sans Serif" w:hAnsi="Times New Roman"/>
          <w:sz w:val="24"/>
          <w:szCs w:val="24"/>
          <w:lang w:val="uk-UA" w:eastAsia="uk-UA" w:bidi="uk-UA"/>
        </w:rPr>
        <w:t xml:space="preserve"> Раїса Іванівна </w:t>
      </w:r>
    </w:p>
    <w:p w:rsidR="00E4558F" w:rsidRDefault="00E4558F" w:rsidP="00E4558F">
      <w:pPr>
        <w:pStyle w:val="a8"/>
        <w:jc w:val="both"/>
        <w:rPr>
          <w:rFonts w:ascii="Times New Roman" w:eastAsia="Microsoft Sans Serif" w:hAnsi="Times New Roman"/>
          <w:sz w:val="24"/>
          <w:szCs w:val="24"/>
          <w:lang w:val="uk-UA" w:eastAsia="uk-UA" w:bidi="uk-UA"/>
        </w:rPr>
      </w:pPr>
      <w:r w:rsidRPr="00E4558F">
        <w:rPr>
          <w:rFonts w:ascii="Times New Roman" w:eastAsia="Microsoft Sans Serif" w:hAnsi="Times New Roman"/>
          <w:sz w:val="24"/>
          <w:szCs w:val="24"/>
          <w:lang w:val="uk-UA" w:eastAsia="uk-UA" w:bidi="uk-UA"/>
        </w:rPr>
        <w:t xml:space="preserve">                               </w:t>
      </w:r>
      <w:r w:rsidR="00A76792">
        <w:rPr>
          <w:rFonts w:ascii="Times New Roman" w:eastAsia="Microsoft Sans Serif" w:hAnsi="Times New Roman"/>
          <w:sz w:val="24"/>
          <w:szCs w:val="24"/>
          <w:lang w:val="uk-UA" w:eastAsia="uk-UA" w:bidi="uk-UA"/>
        </w:rPr>
        <w:t xml:space="preserve">      </w:t>
      </w:r>
      <w:r w:rsidRPr="00E4558F">
        <w:rPr>
          <w:rFonts w:ascii="Times New Roman" w:eastAsia="Microsoft Sans Serif" w:hAnsi="Times New Roman"/>
          <w:sz w:val="24"/>
          <w:szCs w:val="24"/>
          <w:lang w:val="uk-UA" w:eastAsia="uk-UA" w:bidi="uk-UA"/>
        </w:rPr>
        <w:t xml:space="preserve">          – Будяк Павло Миколайович</w:t>
      </w:r>
    </w:p>
    <w:p w:rsidR="007C0E1E" w:rsidRDefault="007C0E1E" w:rsidP="00E4558F">
      <w:pPr>
        <w:pStyle w:val="a8"/>
        <w:numPr>
          <w:ilvl w:val="0"/>
          <w:numId w:val="17"/>
        </w:numPr>
        <w:jc w:val="both"/>
        <w:rPr>
          <w:rFonts w:ascii="Times New Roman" w:hAnsi="Times New Roman"/>
          <w:b/>
          <w:sz w:val="24"/>
          <w:szCs w:val="24"/>
          <w:lang w:val="uk-UA"/>
        </w:rPr>
      </w:pPr>
      <w:r w:rsidRPr="00423B0F">
        <w:rPr>
          <w:rFonts w:ascii="Times New Roman" w:hAnsi="Times New Roman"/>
          <w:b/>
          <w:sz w:val="24"/>
          <w:szCs w:val="24"/>
          <w:lang w:val="uk-UA"/>
        </w:rPr>
        <w:t xml:space="preserve">Затвердження </w:t>
      </w:r>
      <w:r w:rsidR="00F209D7">
        <w:rPr>
          <w:rFonts w:ascii="Times New Roman" w:hAnsi="Times New Roman"/>
          <w:b/>
          <w:sz w:val="24"/>
          <w:szCs w:val="24"/>
          <w:lang w:val="uk-UA"/>
        </w:rPr>
        <w:t>річного звіту товариства за 2020</w:t>
      </w:r>
      <w:r w:rsidR="00367215" w:rsidRPr="00423B0F">
        <w:rPr>
          <w:rFonts w:ascii="Times New Roman" w:hAnsi="Times New Roman"/>
          <w:b/>
          <w:sz w:val="24"/>
          <w:szCs w:val="24"/>
          <w:lang w:val="uk-UA"/>
        </w:rPr>
        <w:t xml:space="preserve"> рік</w:t>
      </w:r>
      <w:r w:rsidRPr="00423B0F">
        <w:rPr>
          <w:rFonts w:ascii="Times New Roman" w:hAnsi="Times New Roman"/>
          <w:b/>
          <w:sz w:val="24"/>
          <w:szCs w:val="24"/>
          <w:lang w:val="uk-UA"/>
        </w:rPr>
        <w:t>.</w:t>
      </w:r>
    </w:p>
    <w:p w:rsidR="00423B0F" w:rsidRPr="00423B0F" w:rsidRDefault="00423B0F" w:rsidP="00423B0F">
      <w:pPr>
        <w:pStyle w:val="a8"/>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423B0F" w:rsidRPr="00423B0F" w:rsidRDefault="00423B0F" w:rsidP="00423B0F">
      <w:pPr>
        <w:pStyle w:val="a8"/>
        <w:jc w:val="both"/>
        <w:rPr>
          <w:rFonts w:ascii="Times New Roman" w:hAnsi="Times New Roman"/>
          <w:b/>
          <w:sz w:val="24"/>
          <w:szCs w:val="24"/>
          <w:lang w:val="uk-UA"/>
        </w:rPr>
      </w:pPr>
      <w:r w:rsidRPr="00423B0F">
        <w:rPr>
          <w:rFonts w:ascii="Times New Roman" w:hAnsi="Times New Roman"/>
          <w:lang w:val="uk-UA"/>
        </w:rPr>
        <w:t>Затвердити звіт Товариства про результати фінансово-</w:t>
      </w:r>
      <w:r w:rsidR="00F209D7">
        <w:rPr>
          <w:rFonts w:ascii="Times New Roman" w:hAnsi="Times New Roman"/>
          <w:lang w:val="uk-UA"/>
        </w:rPr>
        <w:t>господарської діяльності за 2020</w:t>
      </w:r>
      <w:r w:rsidRPr="00423B0F">
        <w:rPr>
          <w:rFonts w:ascii="Times New Roman" w:hAnsi="Times New Roman"/>
          <w:lang w:val="uk-UA"/>
        </w:rPr>
        <w:t xml:space="preserve"> рік.</w:t>
      </w:r>
    </w:p>
    <w:p w:rsidR="00367215" w:rsidRPr="00423B0F" w:rsidRDefault="00367215" w:rsidP="00222680">
      <w:pPr>
        <w:pStyle w:val="a8"/>
        <w:numPr>
          <w:ilvl w:val="1"/>
          <w:numId w:val="17"/>
        </w:numPr>
        <w:jc w:val="both"/>
        <w:rPr>
          <w:rFonts w:ascii="Times New Roman" w:hAnsi="Times New Roman"/>
          <w:b/>
          <w:sz w:val="24"/>
          <w:szCs w:val="24"/>
          <w:lang w:val="uk-UA"/>
        </w:rPr>
      </w:pPr>
      <w:r w:rsidRPr="00423B0F">
        <w:rPr>
          <w:rFonts w:ascii="Times New Roman" w:hAnsi="Times New Roman"/>
          <w:b/>
          <w:sz w:val="24"/>
          <w:szCs w:val="24"/>
          <w:lang w:val="uk-UA"/>
        </w:rPr>
        <w:t xml:space="preserve">Розгляд звіту Наглядової Ради та затвердження заходів за результатами його </w:t>
      </w:r>
      <w:r w:rsidR="00222680" w:rsidRPr="00423B0F">
        <w:rPr>
          <w:rFonts w:ascii="Times New Roman" w:hAnsi="Times New Roman"/>
          <w:b/>
          <w:sz w:val="24"/>
          <w:szCs w:val="24"/>
          <w:lang w:val="uk-UA"/>
        </w:rPr>
        <w:t>розгляду.</w:t>
      </w:r>
    </w:p>
    <w:p w:rsidR="00222680" w:rsidRPr="00423B0F" w:rsidRDefault="00222680" w:rsidP="00222680">
      <w:pPr>
        <w:pStyle w:val="a8"/>
        <w:ind w:left="1170"/>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B056DA" w:rsidRPr="00423B0F" w:rsidRDefault="00423B0F" w:rsidP="00222680">
      <w:pPr>
        <w:pStyle w:val="a8"/>
        <w:ind w:left="1170"/>
        <w:jc w:val="both"/>
        <w:rPr>
          <w:rFonts w:ascii="Times New Roman" w:hAnsi="Times New Roman"/>
          <w:sz w:val="24"/>
          <w:szCs w:val="24"/>
          <w:lang w:val="uk-UA"/>
        </w:rPr>
      </w:pPr>
      <w:r w:rsidRPr="00423B0F">
        <w:rPr>
          <w:rFonts w:ascii="Times New Roman" w:hAnsi="Times New Roman"/>
          <w:sz w:val="24"/>
          <w:szCs w:val="24"/>
          <w:lang w:val="uk-UA" w:bidi="uk-UA"/>
        </w:rPr>
        <w:t>Затвердити звіт Наглядової ради</w:t>
      </w:r>
      <w:r w:rsidR="00F209D7">
        <w:rPr>
          <w:rFonts w:ascii="Times New Roman" w:hAnsi="Times New Roman"/>
          <w:sz w:val="24"/>
          <w:szCs w:val="24"/>
          <w:lang w:val="uk-UA" w:bidi="uk-UA"/>
        </w:rPr>
        <w:t>. Роботу Наглядової Ради за 2020</w:t>
      </w:r>
      <w:r w:rsidRPr="00423B0F">
        <w:rPr>
          <w:rFonts w:ascii="Times New Roman" w:hAnsi="Times New Roman"/>
          <w:sz w:val="24"/>
          <w:szCs w:val="24"/>
          <w:lang w:val="uk-UA" w:bidi="uk-UA"/>
        </w:rPr>
        <w:t xml:space="preserve"> рік визнати задовільною</w:t>
      </w:r>
    </w:p>
    <w:p w:rsidR="00222680" w:rsidRPr="00423B0F" w:rsidRDefault="00222680" w:rsidP="00222680">
      <w:pPr>
        <w:pStyle w:val="a8"/>
        <w:numPr>
          <w:ilvl w:val="1"/>
          <w:numId w:val="17"/>
        </w:numPr>
        <w:jc w:val="both"/>
        <w:rPr>
          <w:rFonts w:ascii="Times New Roman" w:hAnsi="Times New Roman"/>
          <w:b/>
          <w:sz w:val="24"/>
          <w:szCs w:val="24"/>
          <w:lang w:val="uk-UA"/>
        </w:rPr>
      </w:pPr>
      <w:r w:rsidRPr="00423B0F">
        <w:rPr>
          <w:rFonts w:ascii="Times New Roman" w:hAnsi="Times New Roman"/>
          <w:b/>
          <w:sz w:val="24"/>
          <w:szCs w:val="24"/>
          <w:lang w:val="uk-UA"/>
        </w:rPr>
        <w:t>Розгляд звіту Директора та затвердження заходів за результатами його розгляду.</w:t>
      </w:r>
    </w:p>
    <w:p w:rsidR="00222680" w:rsidRPr="00423B0F" w:rsidRDefault="00222680" w:rsidP="00222680">
      <w:pPr>
        <w:pStyle w:val="a8"/>
        <w:ind w:left="1170"/>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773E83" w:rsidRPr="00423B0F" w:rsidRDefault="00B30FE6" w:rsidP="00222680">
      <w:pPr>
        <w:pStyle w:val="a8"/>
        <w:ind w:left="1170"/>
        <w:jc w:val="both"/>
        <w:rPr>
          <w:rFonts w:ascii="Times New Roman" w:hAnsi="Times New Roman"/>
          <w:sz w:val="24"/>
          <w:szCs w:val="24"/>
          <w:lang w:val="uk-UA"/>
        </w:rPr>
      </w:pPr>
      <w:r w:rsidRPr="00B30FE6">
        <w:rPr>
          <w:rFonts w:ascii="Times New Roman" w:hAnsi="Times New Roman"/>
          <w:sz w:val="24"/>
          <w:szCs w:val="24"/>
          <w:lang w:val="uk-UA" w:bidi="uk-UA"/>
        </w:rPr>
        <w:t>Враховуючі відсутність глибокого та ефективного аналізу, планування</w:t>
      </w:r>
      <w:r w:rsidRPr="00B30FE6">
        <w:rPr>
          <w:rFonts w:ascii="Times New Roman" w:hAnsi="Times New Roman"/>
          <w:sz w:val="24"/>
          <w:szCs w:val="24"/>
          <w:lang w:val="en-US" w:bidi="uk-UA"/>
        </w:rPr>
        <w:t>,</w:t>
      </w:r>
      <w:r w:rsidRPr="00B30FE6">
        <w:rPr>
          <w:rFonts w:ascii="Times New Roman" w:hAnsi="Times New Roman"/>
          <w:sz w:val="24"/>
          <w:szCs w:val="24"/>
          <w:lang w:val="uk-UA" w:bidi="uk-UA"/>
        </w:rPr>
        <w:t xml:space="preserve"> прогнозування та як наслідок</w:t>
      </w:r>
      <w:r w:rsidRPr="00B30FE6">
        <w:rPr>
          <w:rFonts w:ascii="Times New Roman" w:hAnsi="Times New Roman"/>
          <w:sz w:val="24"/>
          <w:szCs w:val="24"/>
          <w:lang w:val="en-US" w:bidi="uk-UA"/>
        </w:rPr>
        <w:t>,</w:t>
      </w:r>
      <w:r w:rsidRPr="00B30FE6">
        <w:rPr>
          <w:rFonts w:ascii="Times New Roman" w:hAnsi="Times New Roman"/>
          <w:sz w:val="24"/>
          <w:szCs w:val="24"/>
          <w:lang w:val="uk-UA" w:bidi="uk-UA"/>
        </w:rPr>
        <w:t xml:space="preserve"> критичного фінансово економічного стану підприємства</w:t>
      </w:r>
      <w:r w:rsidRPr="00B30FE6">
        <w:rPr>
          <w:rFonts w:ascii="Times New Roman" w:hAnsi="Times New Roman"/>
          <w:sz w:val="24"/>
          <w:szCs w:val="24"/>
          <w:lang w:val="en-US" w:bidi="uk-UA"/>
        </w:rPr>
        <w:t xml:space="preserve"> -</w:t>
      </w:r>
      <w:r w:rsidRPr="00B30FE6">
        <w:rPr>
          <w:rFonts w:ascii="Times New Roman" w:hAnsi="Times New Roman"/>
          <w:sz w:val="24"/>
          <w:szCs w:val="24"/>
          <w:lang w:val="uk-UA" w:bidi="uk-UA"/>
        </w:rPr>
        <w:t xml:space="preserve"> визнати роботу одноосібного директора не задовільною. Доручить члену наглядової ради Савченко В.А. протягом наступного півріччя вийти з пропозиціями покращення економічного стану підприємства.</w:t>
      </w:r>
    </w:p>
    <w:p w:rsidR="00222680" w:rsidRPr="00423B0F" w:rsidRDefault="00222680" w:rsidP="00222680">
      <w:pPr>
        <w:pStyle w:val="a8"/>
        <w:numPr>
          <w:ilvl w:val="1"/>
          <w:numId w:val="17"/>
        </w:numPr>
        <w:jc w:val="both"/>
        <w:rPr>
          <w:rFonts w:ascii="Times New Roman" w:hAnsi="Times New Roman"/>
          <w:b/>
          <w:sz w:val="24"/>
          <w:szCs w:val="24"/>
          <w:lang w:val="uk-UA"/>
        </w:rPr>
      </w:pPr>
      <w:r w:rsidRPr="00423B0F">
        <w:rPr>
          <w:rFonts w:ascii="Times New Roman" w:hAnsi="Times New Roman"/>
          <w:b/>
          <w:sz w:val="24"/>
          <w:szCs w:val="24"/>
          <w:lang w:val="uk-UA"/>
        </w:rPr>
        <w:t>Розгляд звіту зовнішнього аудиту та затвердження заходів за результатами його розгляду.</w:t>
      </w:r>
    </w:p>
    <w:p w:rsidR="00222680" w:rsidRPr="00423B0F" w:rsidRDefault="00222680" w:rsidP="00222680">
      <w:pPr>
        <w:pStyle w:val="a8"/>
        <w:ind w:left="1170"/>
        <w:jc w:val="both"/>
        <w:rPr>
          <w:rFonts w:ascii="Times New Roman" w:hAnsi="Times New Roman"/>
          <w:sz w:val="24"/>
          <w:szCs w:val="24"/>
          <w:lang w:val="uk-UA"/>
        </w:rPr>
      </w:pPr>
      <w:r w:rsidRPr="00423B0F">
        <w:rPr>
          <w:rFonts w:ascii="Times New Roman" w:hAnsi="Times New Roman"/>
          <w:sz w:val="24"/>
          <w:szCs w:val="24"/>
          <w:lang w:val="uk-UA"/>
        </w:rPr>
        <w:t xml:space="preserve">Проект рішення: </w:t>
      </w:r>
    </w:p>
    <w:p w:rsidR="00773E83" w:rsidRDefault="00423B0F" w:rsidP="00222680">
      <w:pPr>
        <w:pStyle w:val="a8"/>
        <w:ind w:left="1170"/>
        <w:jc w:val="both"/>
        <w:rPr>
          <w:rFonts w:ascii="Times New Roman" w:hAnsi="Times New Roman"/>
          <w:sz w:val="24"/>
          <w:szCs w:val="24"/>
          <w:lang w:val="uk-UA" w:bidi="uk-UA"/>
        </w:rPr>
      </w:pPr>
      <w:r w:rsidRPr="00423B0F">
        <w:rPr>
          <w:rFonts w:ascii="Times New Roman" w:hAnsi="Times New Roman"/>
          <w:sz w:val="24"/>
          <w:szCs w:val="24"/>
          <w:lang w:val="uk-UA" w:bidi="uk-UA"/>
        </w:rPr>
        <w:t>Зат</w:t>
      </w:r>
      <w:r w:rsidR="00B12B6F">
        <w:rPr>
          <w:rFonts w:ascii="Times New Roman" w:hAnsi="Times New Roman"/>
          <w:sz w:val="24"/>
          <w:szCs w:val="24"/>
          <w:lang w:val="uk-UA" w:bidi="uk-UA"/>
        </w:rPr>
        <w:t>вердити</w:t>
      </w:r>
      <w:r w:rsidR="00F209D7">
        <w:rPr>
          <w:rFonts w:ascii="Times New Roman" w:hAnsi="Times New Roman"/>
          <w:sz w:val="24"/>
          <w:szCs w:val="24"/>
          <w:lang w:val="uk-UA" w:bidi="uk-UA"/>
        </w:rPr>
        <w:t xml:space="preserve"> звіт зовнішнього аудиту за 2020</w:t>
      </w:r>
      <w:r w:rsidR="00B12B6F">
        <w:rPr>
          <w:rFonts w:ascii="Times New Roman" w:hAnsi="Times New Roman"/>
          <w:sz w:val="24"/>
          <w:szCs w:val="24"/>
          <w:lang w:val="uk-UA" w:bidi="uk-UA"/>
        </w:rPr>
        <w:t>.</w:t>
      </w:r>
    </w:p>
    <w:p w:rsidR="00423B0F" w:rsidRPr="00423B0F" w:rsidRDefault="00423B0F" w:rsidP="00222680">
      <w:pPr>
        <w:pStyle w:val="a8"/>
        <w:ind w:left="1170"/>
        <w:jc w:val="both"/>
        <w:rPr>
          <w:rFonts w:ascii="Times New Roman" w:hAnsi="Times New Roman"/>
          <w:sz w:val="24"/>
          <w:szCs w:val="24"/>
          <w:lang w:val="uk-UA"/>
        </w:rPr>
      </w:pPr>
    </w:p>
    <w:p w:rsidR="00807C17" w:rsidRPr="00423B0F" w:rsidRDefault="00807C17" w:rsidP="00807C17">
      <w:pPr>
        <w:pStyle w:val="a8"/>
        <w:numPr>
          <w:ilvl w:val="0"/>
          <w:numId w:val="17"/>
        </w:numPr>
        <w:jc w:val="both"/>
        <w:rPr>
          <w:rFonts w:ascii="Times New Roman" w:hAnsi="Times New Roman"/>
          <w:b/>
          <w:sz w:val="24"/>
          <w:szCs w:val="24"/>
          <w:lang w:val="uk-UA"/>
        </w:rPr>
      </w:pPr>
      <w:r w:rsidRPr="00423B0F">
        <w:rPr>
          <w:rFonts w:ascii="Times New Roman" w:hAnsi="Times New Roman"/>
          <w:b/>
          <w:sz w:val="24"/>
          <w:szCs w:val="24"/>
          <w:lang w:val="uk-UA"/>
        </w:rPr>
        <w:lastRenderedPageBreak/>
        <w:t>Розподіл прибутку, або збитків товариства (звіт</w:t>
      </w:r>
      <w:r w:rsidR="005C5911">
        <w:rPr>
          <w:rFonts w:ascii="Times New Roman" w:hAnsi="Times New Roman"/>
          <w:b/>
          <w:sz w:val="24"/>
          <w:szCs w:val="24"/>
          <w:lang w:val="uk-UA"/>
        </w:rPr>
        <w:t xml:space="preserve"> в.о.</w:t>
      </w:r>
      <w:r w:rsidRPr="00423B0F">
        <w:rPr>
          <w:rFonts w:ascii="Times New Roman" w:hAnsi="Times New Roman"/>
          <w:b/>
          <w:sz w:val="24"/>
          <w:szCs w:val="24"/>
          <w:lang w:val="uk-UA"/>
        </w:rPr>
        <w:t xml:space="preserve"> головного бухгалтера </w:t>
      </w:r>
      <w:r w:rsidR="005C5911">
        <w:rPr>
          <w:rFonts w:ascii="Times New Roman" w:hAnsi="Times New Roman"/>
          <w:b/>
          <w:sz w:val="24"/>
          <w:szCs w:val="24"/>
          <w:lang w:val="uk-UA"/>
        </w:rPr>
        <w:t xml:space="preserve">за суміщенням </w:t>
      </w:r>
      <w:proofErr w:type="spellStart"/>
      <w:r w:rsidR="005C5911">
        <w:rPr>
          <w:rFonts w:ascii="Times New Roman" w:hAnsi="Times New Roman"/>
          <w:b/>
          <w:sz w:val="24"/>
          <w:szCs w:val="24"/>
          <w:lang w:val="uk-UA"/>
        </w:rPr>
        <w:t>Стрельцова</w:t>
      </w:r>
      <w:proofErr w:type="spellEnd"/>
      <w:r w:rsidR="005C5911">
        <w:rPr>
          <w:rFonts w:ascii="Times New Roman" w:hAnsi="Times New Roman"/>
          <w:b/>
          <w:sz w:val="24"/>
          <w:szCs w:val="24"/>
          <w:lang w:val="uk-UA"/>
        </w:rPr>
        <w:t xml:space="preserve"> В.І.</w:t>
      </w:r>
      <w:r w:rsidRPr="00423B0F">
        <w:rPr>
          <w:rFonts w:ascii="Times New Roman" w:hAnsi="Times New Roman"/>
          <w:b/>
          <w:sz w:val="24"/>
          <w:szCs w:val="24"/>
          <w:lang w:val="uk-UA"/>
        </w:rPr>
        <w:t>).</w:t>
      </w:r>
    </w:p>
    <w:p w:rsidR="00807C17" w:rsidRPr="00423B0F" w:rsidRDefault="00807C17" w:rsidP="00807C17">
      <w:pPr>
        <w:pStyle w:val="a8"/>
        <w:jc w:val="both"/>
        <w:rPr>
          <w:rFonts w:ascii="Times New Roman" w:hAnsi="Times New Roman"/>
          <w:sz w:val="24"/>
          <w:szCs w:val="24"/>
          <w:lang w:val="uk-UA"/>
        </w:rPr>
      </w:pPr>
      <w:r w:rsidRPr="00423B0F">
        <w:rPr>
          <w:rFonts w:ascii="Times New Roman" w:hAnsi="Times New Roman"/>
          <w:sz w:val="24"/>
          <w:szCs w:val="24"/>
          <w:lang w:val="uk-UA"/>
        </w:rPr>
        <w:t>Проект рішення:</w:t>
      </w:r>
    </w:p>
    <w:p w:rsidR="00807C17" w:rsidRPr="00423B0F" w:rsidRDefault="00807C17" w:rsidP="00222680">
      <w:pPr>
        <w:pStyle w:val="a8"/>
        <w:ind w:left="1170"/>
        <w:jc w:val="both"/>
        <w:rPr>
          <w:rFonts w:ascii="Times New Roman" w:hAnsi="Times New Roman"/>
          <w:sz w:val="24"/>
          <w:szCs w:val="24"/>
          <w:lang w:val="uk-UA"/>
        </w:rPr>
      </w:pPr>
      <w:r w:rsidRPr="00423B0F">
        <w:rPr>
          <w:rFonts w:ascii="Times New Roman" w:hAnsi="Times New Roman"/>
          <w:sz w:val="24"/>
          <w:szCs w:val="24"/>
          <w:lang w:val="uk-UA"/>
        </w:rPr>
        <w:t>Взяти до уваги інформацію</w:t>
      </w:r>
      <w:r w:rsidR="005C5911">
        <w:rPr>
          <w:rFonts w:ascii="Times New Roman" w:hAnsi="Times New Roman"/>
          <w:sz w:val="24"/>
          <w:szCs w:val="24"/>
          <w:lang w:val="uk-UA"/>
        </w:rPr>
        <w:t xml:space="preserve"> в.о.</w:t>
      </w:r>
      <w:r w:rsidRPr="00423B0F">
        <w:rPr>
          <w:rFonts w:ascii="Times New Roman" w:hAnsi="Times New Roman"/>
          <w:sz w:val="24"/>
          <w:szCs w:val="24"/>
          <w:lang w:val="uk-UA"/>
        </w:rPr>
        <w:t xml:space="preserve"> головного бухгалтера</w:t>
      </w:r>
      <w:r w:rsidR="005C5911">
        <w:rPr>
          <w:rFonts w:ascii="Times New Roman" w:hAnsi="Times New Roman"/>
          <w:sz w:val="24"/>
          <w:szCs w:val="24"/>
          <w:lang w:val="uk-UA"/>
        </w:rPr>
        <w:t xml:space="preserve"> за суміщенням</w:t>
      </w:r>
      <w:r w:rsidRPr="00423B0F">
        <w:rPr>
          <w:rFonts w:ascii="Times New Roman" w:hAnsi="Times New Roman"/>
          <w:sz w:val="24"/>
          <w:szCs w:val="24"/>
          <w:lang w:val="uk-UA"/>
        </w:rPr>
        <w:t>, та визначити неможливим виплату дивідендів відповідно до ст.30</w:t>
      </w:r>
      <w:r w:rsidR="00773E83" w:rsidRPr="00423B0F">
        <w:rPr>
          <w:rFonts w:ascii="Times New Roman" w:hAnsi="Times New Roman"/>
          <w:sz w:val="24"/>
          <w:szCs w:val="24"/>
          <w:lang w:val="uk-UA"/>
        </w:rPr>
        <w:t xml:space="preserve"> п.2</w:t>
      </w:r>
      <w:r w:rsidRPr="00423B0F">
        <w:rPr>
          <w:rFonts w:ascii="Times New Roman" w:hAnsi="Times New Roman"/>
          <w:sz w:val="24"/>
          <w:szCs w:val="24"/>
          <w:lang w:val="uk-UA"/>
        </w:rPr>
        <w:t xml:space="preserve"> Закону України «Про акціонерні товариства» від 17.09.2008 № 514</w:t>
      </w:r>
      <w:r w:rsidR="0007225E" w:rsidRPr="00423B0F">
        <w:rPr>
          <w:rFonts w:ascii="Times New Roman" w:hAnsi="Times New Roman"/>
          <w:sz w:val="24"/>
          <w:szCs w:val="24"/>
          <w:lang w:val="uk-UA"/>
        </w:rPr>
        <w:t>-</w:t>
      </w:r>
      <w:r w:rsidRPr="00423B0F">
        <w:rPr>
          <w:rFonts w:ascii="Times New Roman" w:hAnsi="Times New Roman"/>
          <w:sz w:val="24"/>
          <w:szCs w:val="24"/>
          <w:lang w:val="en-US"/>
        </w:rPr>
        <w:t>V</w:t>
      </w:r>
      <w:r w:rsidRPr="00423B0F">
        <w:rPr>
          <w:rFonts w:ascii="Times New Roman" w:hAnsi="Times New Roman"/>
          <w:sz w:val="24"/>
          <w:szCs w:val="24"/>
          <w:lang w:val="uk-UA"/>
        </w:rPr>
        <w:t xml:space="preserve">І, </w:t>
      </w:r>
      <w:r w:rsidR="00953EC6" w:rsidRPr="00953EC6">
        <w:rPr>
          <w:rFonts w:ascii="Times New Roman" w:hAnsi="Times New Roman"/>
          <w:sz w:val="24"/>
          <w:szCs w:val="24"/>
          <w:lang w:val="uk-UA"/>
        </w:rPr>
        <w:t>резервний фонд створювати в розмірі 5% від грошових надходжень на розрахунковий рахунок підприємства.</w:t>
      </w:r>
      <w:bookmarkStart w:id="0" w:name="_GoBack"/>
      <w:bookmarkEnd w:id="0"/>
    </w:p>
    <w:p w:rsidR="00773E83" w:rsidRPr="00423B0F" w:rsidRDefault="00773E83" w:rsidP="00222680">
      <w:pPr>
        <w:pStyle w:val="a8"/>
        <w:ind w:left="1170"/>
        <w:jc w:val="both"/>
        <w:rPr>
          <w:rFonts w:ascii="Times New Roman" w:hAnsi="Times New Roman"/>
          <w:sz w:val="24"/>
          <w:szCs w:val="24"/>
          <w:lang w:val="uk-UA"/>
        </w:rPr>
      </w:pPr>
    </w:p>
    <w:p w:rsidR="00773E83" w:rsidRPr="00423B0F" w:rsidRDefault="00773E83" w:rsidP="00773E83">
      <w:pPr>
        <w:pStyle w:val="a8"/>
        <w:numPr>
          <w:ilvl w:val="0"/>
          <w:numId w:val="17"/>
        </w:numPr>
        <w:jc w:val="both"/>
        <w:rPr>
          <w:rFonts w:ascii="Times New Roman" w:hAnsi="Times New Roman"/>
          <w:b/>
          <w:sz w:val="24"/>
          <w:szCs w:val="24"/>
          <w:lang w:val="uk-UA"/>
        </w:rPr>
      </w:pPr>
      <w:r w:rsidRPr="00423B0F">
        <w:rPr>
          <w:rFonts w:ascii="Times New Roman" w:hAnsi="Times New Roman"/>
          <w:b/>
          <w:sz w:val="24"/>
          <w:szCs w:val="24"/>
          <w:lang w:val="uk-UA"/>
        </w:rPr>
        <w:t>Прийняття рішення за наслідками розгляду звітів Наглядової Ради,  звіту ревізійної комісії (ревізора).</w:t>
      </w:r>
    </w:p>
    <w:p w:rsidR="00773E83" w:rsidRPr="00423B0F" w:rsidRDefault="00773E83" w:rsidP="00A76792">
      <w:pPr>
        <w:ind w:left="851"/>
        <w:jc w:val="both"/>
        <w:rPr>
          <w:szCs w:val="24"/>
          <w:lang w:val="uk-UA"/>
        </w:rPr>
      </w:pPr>
      <w:r w:rsidRPr="00423B0F">
        <w:rPr>
          <w:szCs w:val="24"/>
          <w:lang w:val="uk-UA"/>
        </w:rPr>
        <w:t>Проект рішення:</w:t>
      </w:r>
    </w:p>
    <w:p w:rsidR="00773E83" w:rsidRDefault="00423B0F" w:rsidP="00A76792">
      <w:pPr>
        <w:ind w:left="1134"/>
        <w:jc w:val="both"/>
        <w:rPr>
          <w:lang w:val="uk-UA"/>
        </w:rPr>
      </w:pPr>
      <w:r w:rsidRPr="00423B0F">
        <w:rPr>
          <w:lang w:val="uk-UA"/>
        </w:rPr>
        <w:t xml:space="preserve">За результатами розгляду звітів наглядової ради, звіту ревізійної комісії вважати фінансово-господарську діяльність Приватного акціонерного товариства «Слов’янський крейдо-вапняний завод» </w:t>
      </w:r>
      <w:r w:rsidR="00F209D7">
        <w:rPr>
          <w:lang w:val="uk-UA"/>
        </w:rPr>
        <w:t>за 2020</w:t>
      </w:r>
      <w:r w:rsidRPr="00423B0F">
        <w:rPr>
          <w:lang w:val="uk-UA"/>
        </w:rPr>
        <w:t xml:space="preserve"> рік економічно доцільною.</w:t>
      </w:r>
    </w:p>
    <w:p w:rsidR="00423B0F" w:rsidRPr="00423B0F" w:rsidRDefault="00423B0F" w:rsidP="00773E83">
      <w:pPr>
        <w:jc w:val="both"/>
        <w:rPr>
          <w:b/>
          <w:szCs w:val="24"/>
          <w:lang w:val="uk-UA"/>
        </w:rPr>
      </w:pPr>
    </w:p>
    <w:p w:rsidR="00773E83" w:rsidRPr="00F209D7" w:rsidRDefault="007422EB" w:rsidP="00F209D7">
      <w:pPr>
        <w:pStyle w:val="a8"/>
        <w:numPr>
          <w:ilvl w:val="0"/>
          <w:numId w:val="17"/>
        </w:numPr>
        <w:jc w:val="both"/>
        <w:rPr>
          <w:rFonts w:ascii="Times New Roman" w:hAnsi="Times New Roman"/>
          <w:b/>
          <w:sz w:val="24"/>
          <w:szCs w:val="24"/>
          <w:lang w:val="uk-UA"/>
        </w:rPr>
      </w:pPr>
      <w:r w:rsidRPr="00F209D7">
        <w:rPr>
          <w:rFonts w:ascii="Times New Roman" w:hAnsi="Times New Roman"/>
          <w:b/>
          <w:sz w:val="24"/>
          <w:szCs w:val="24"/>
          <w:lang w:val="uk-UA" w:bidi="uk-UA"/>
        </w:rPr>
        <w:t>Про попереднє надання згоди на вчинення значних правочинів, та правочинів щодо вчинення яких є заінтересованість.</w:t>
      </w:r>
    </w:p>
    <w:p w:rsidR="007C0E1E" w:rsidRPr="00423B0F" w:rsidRDefault="00773E83" w:rsidP="00A76792">
      <w:pPr>
        <w:ind w:left="709" w:firstLine="66"/>
        <w:jc w:val="both"/>
        <w:rPr>
          <w:szCs w:val="24"/>
          <w:lang w:val="uk-UA"/>
        </w:rPr>
      </w:pPr>
      <w:r w:rsidRPr="00423B0F">
        <w:rPr>
          <w:szCs w:val="24"/>
          <w:lang w:val="uk-UA"/>
        </w:rPr>
        <w:t>Проект рішення:</w:t>
      </w:r>
    </w:p>
    <w:p w:rsidR="00A76792" w:rsidRPr="00A76792" w:rsidRDefault="00A76792" w:rsidP="00A76792">
      <w:pPr>
        <w:tabs>
          <w:tab w:val="left" w:pos="284"/>
        </w:tabs>
        <w:jc w:val="both"/>
        <w:rPr>
          <w:rFonts w:eastAsia="Microsoft Sans Serif"/>
          <w:szCs w:val="24"/>
          <w:lang w:val="uk-UA" w:eastAsia="uk-UA" w:bidi="uk-UA"/>
        </w:rPr>
      </w:pPr>
      <w:r w:rsidRPr="00A76792">
        <w:rPr>
          <w:rFonts w:eastAsia="Microsoft Sans Serif"/>
          <w:szCs w:val="24"/>
          <w:lang w:val="uk-UA" w:eastAsia="uk-UA" w:bidi="uk-UA"/>
        </w:rPr>
        <w:t xml:space="preserve">Будь які значні правочини (в тому числі зазначенні нижче) вчиняються виключно після затвердження Головою Наглядової Ради по кожному окремому правочину. Процедуру, порядок виконання значного правочину та відповідальних осіб визначають протоколом засідання наглядової ради завіреного особистим підписом Голови наглядової ради та бухгалтерською печаткою №1. </w:t>
      </w:r>
    </w:p>
    <w:p w:rsidR="00A76792" w:rsidRPr="00A76792" w:rsidRDefault="00A76792" w:rsidP="00A76792">
      <w:pPr>
        <w:tabs>
          <w:tab w:val="left" w:pos="284"/>
        </w:tabs>
        <w:jc w:val="both"/>
        <w:rPr>
          <w:rFonts w:eastAsia="Microsoft Sans Serif"/>
          <w:szCs w:val="24"/>
          <w:lang w:val="uk-UA" w:eastAsia="uk-UA" w:bidi="uk-UA"/>
        </w:rPr>
      </w:pPr>
      <w:r w:rsidRPr="00A76792">
        <w:rPr>
          <w:rFonts w:eastAsia="Microsoft Sans Serif"/>
          <w:szCs w:val="24"/>
          <w:lang w:val="uk-UA" w:eastAsia="uk-UA" w:bidi="uk-UA"/>
        </w:rPr>
        <w:t xml:space="preserve">            До значних правочинів віднести</w:t>
      </w:r>
      <w:r w:rsidRPr="00A76792">
        <w:rPr>
          <w:rFonts w:eastAsia="Microsoft Sans Serif"/>
          <w:szCs w:val="24"/>
          <w:lang w:val="en-US" w:eastAsia="uk-UA" w:bidi="uk-UA"/>
        </w:rPr>
        <w:t xml:space="preserve">: </w:t>
      </w:r>
      <w:r w:rsidRPr="00A76792">
        <w:rPr>
          <w:rFonts w:eastAsia="Microsoft Sans Serif"/>
          <w:szCs w:val="24"/>
          <w:lang w:val="uk-UA" w:eastAsia="uk-UA" w:bidi="uk-UA"/>
        </w:rPr>
        <w:t xml:space="preserve">дії по господарських (газопостачання, електропостачання, залізниця), кредитних та інших договорах, надання в заставу основних фондів, майна, майнових прав, земельних ділянок, договорів безпроцентних позик, укладати договори задоволення вимог </w:t>
      </w:r>
      <w:proofErr w:type="spellStart"/>
      <w:r w:rsidRPr="00A76792">
        <w:rPr>
          <w:rFonts w:eastAsia="Microsoft Sans Serif"/>
          <w:szCs w:val="24"/>
          <w:lang w:val="uk-UA" w:eastAsia="uk-UA" w:bidi="uk-UA"/>
        </w:rPr>
        <w:t>iпотекоутримувача</w:t>
      </w:r>
      <w:proofErr w:type="spellEnd"/>
      <w:r w:rsidRPr="00A76792">
        <w:rPr>
          <w:rFonts w:eastAsia="Microsoft Sans Serif"/>
          <w:szCs w:val="24"/>
          <w:lang w:val="uk-UA" w:eastAsia="uk-UA" w:bidi="uk-UA"/>
        </w:rPr>
        <w:t xml:space="preserve"> без звернень в судові, виконавчі та інші інстанції.</w:t>
      </w:r>
    </w:p>
    <w:p w:rsidR="00A76792" w:rsidRPr="00A76792" w:rsidRDefault="00A76792" w:rsidP="00A76792">
      <w:pPr>
        <w:tabs>
          <w:tab w:val="left" w:pos="284"/>
        </w:tabs>
        <w:jc w:val="both"/>
        <w:rPr>
          <w:rFonts w:eastAsia="Microsoft Sans Serif"/>
          <w:szCs w:val="24"/>
          <w:lang w:val="uk-UA" w:eastAsia="uk-UA" w:bidi="uk-UA"/>
        </w:rPr>
      </w:pPr>
    </w:p>
    <w:p w:rsidR="009B5801" w:rsidRPr="00A76792" w:rsidRDefault="00A76792" w:rsidP="00A76792">
      <w:pPr>
        <w:tabs>
          <w:tab w:val="left" w:pos="284"/>
        </w:tabs>
        <w:jc w:val="both"/>
        <w:rPr>
          <w:rFonts w:eastAsia="Microsoft Sans Serif"/>
          <w:szCs w:val="24"/>
          <w:lang w:val="uk-UA" w:eastAsia="uk-UA" w:bidi="uk-UA"/>
        </w:rPr>
      </w:pPr>
      <w:r w:rsidRPr="00A76792">
        <w:rPr>
          <w:rFonts w:eastAsia="Microsoft Sans Serif"/>
          <w:szCs w:val="24"/>
          <w:lang w:val="uk-UA" w:eastAsia="uk-UA" w:bidi="uk-UA"/>
        </w:rPr>
        <w:t>Зважаючи на значну та довготривалу заборгованість акціонерного товариства по суті ліцензійних договорів від 30.05.2001р. та від 01.02.2005р., враховуючи ст.70 п.3, п.2; ст.71 п.3. Закону України "Про акціонерне товариство" за № 514 - VI від 17.09.2008 р. із змінами та доповненнями, з метою подальшої ефективної діяльності акціонерного товариства та пришвидшеного виходу з економічної та фінансової кризи, надати попередню згоду на вчинення значних правочинів, відповідно по суті ліцензійних договорів від 30.05.2001 р. та від 01.02.2005 р. на суму 36143,379 тис. грн. заборгованості по них, та по інших фінансових зобов`язаннях.</w:t>
      </w:r>
    </w:p>
    <w:p w:rsidR="00F209D7" w:rsidRPr="00F209D7" w:rsidRDefault="00F209D7" w:rsidP="00F209D7">
      <w:pPr>
        <w:tabs>
          <w:tab w:val="left" w:pos="284"/>
        </w:tabs>
        <w:jc w:val="both"/>
        <w:rPr>
          <w:rFonts w:eastAsia="Microsoft Sans Serif"/>
          <w:szCs w:val="24"/>
          <w:lang w:val="uk-UA" w:eastAsia="uk-UA" w:bidi="uk-UA"/>
        </w:rPr>
      </w:pPr>
    </w:p>
    <w:p w:rsidR="00F209D7" w:rsidRPr="00F209D7" w:rsidRDefault="00F209D7" w:rsidP="00F209D7">
      <w:pPr>
        <w:pStyle w:val="a8"/>
        <w:numPr>
          <w:ilvl w:val="0"/>
          <w:numId w:val="17"/>
        </w:numPr>
        <w:tabs>
          <w:tab w:val="left" w:pos="284"/>
        </w:tabs>
        <w:jc w:val="both"/>
        <w:rPr>
          <w:rFonts w:ascii="Times New Roman" w:eastAsia="Microsoft Sans Serif" w:hAnsi="Times New Roman"/>
          <w:sz w:val="24"/>
          <w:szCs w:val="24"/>
          <w:lang w:val="uk-UA" w:eastAsia="uk-UA" w:bidi="uk-UA"/>
        </w:rPr>
      </w:pPr>
      <w:r w:rsidRPr="00F209D7">
        <w:rPr>
          <w:rFonts w:ascii="Times New Roman" w:eastAsia="Microsoft Sans Serif" w:hAnsi="Times New Roman"/>
          <w:b/>
          <w:sz w:val="24"/>
          <w:szCs w:val="24"/>
          <w:lang w:val="uk-UA" w:eastAsia="uk-UA" w:bidi="uk-UA"/>
        </w:rPr>
        <w:t>Про внесення змін до Статуту Приватного акціонерного товариства «Слов’янський крейдо-вапняний завод».</w:t>
      </w:r>
    </w:p>
    <w:p w:rsidR="00F209D7" w:rsidRDefault="00F209D7" w:rsidP="00F209D7">
      <w:pPr>
        <w:tabs>
          <w:tab w:val="left" w:pos="284"/>
        </w:tabs>
        <w:jc w:val="both"/>
        <w:rPr>
          <w:rFonts w:eastAsia="Microsoft Sans Serif"/>
          <w:szCs w:val="24"/>
          <w:lang w:val="uk-UA" w:eastAsia="uk-UA" w:bidi="uk-UA"/>
        </w:rPr>
      </w:pPr>
      <w:r>
        <w:rPr>
          <w:rFonts w:eastAsia="Microsoft Sans Serif"/>
          <w:szCs w:val="24"/>
          <w:lang w:val="uk-UA" w:eastAsia="uk-UA" w:bidi="uk-UA"/>
        </w:rPr>
        <w:t>Проект рішення:</w:t>
      </w:r>
    </w:p>
    <w:p w:rsidR="00F209D7" w:rsidRPr="00F209D7" w:rsidRDefault="00F209D7" w:rsidP="00F209D7">
      <w:pPr>
        <w:tabs>
          <w:tab w:val="left" w:pos="284"/>
        </w:tabs>
        <w:jc w:val="both"/>
        <w:rPr>
          <w:rFonts w:eastAsia="Microsoft Sans Serif"/>
          <w:szCs w:val="24"/>
          <w:lang w:val="uk-UA" w:eastAsia="uk-UA" w:bidi="uk-UA"/>
        </w:rPr>
      </w:pPr>
      <w:r w:rsidRPr="00F209D7">
        <w:rPr>
          <w:rFonts w:eastAsia="Microsoft Sans Serif"/>
          <w:szCs w:val="24"/>
          <w:lang w:val="uk-UA" w:eastAsia="uk-UA" w:bidi="uk-UA"/>
        </w:rPr>
        <w:t>У зв’язку з відсутністю в Національному класифікаторі професій  ДК 003:2010, затвердженого Наказом Держспоживстандарту України №327 від 28.07.2010 із змінами, посади «Заступника Голови (спостережної) Наглядової Ради» Для приведення до вимог ДК 003:2010 Статуту Приватного акціонерного товариства «Слов’янський крейдо-вапняний завод», пункт 6.8 третій абзац викласти в новій редакції: «Наглядова Рада складається з Голови Наглядової Ради та двох її членів».</w:t>
      </w:r>
    </w:p>
    <w:p w:rsidR="00F209D7" w:rsidRPr="00F209D7" w:rsidRDefault="00F209D7" w:rsidP="00F209D7">
      <w:pPr>
        <w:tabs>
          <w:tab w:val="left" w:pos="284"/>
        </w:tabs>
        <w:jc w:val="both"/>
        <w:rPr>
          <w:rFonts w:eastAsia="Microsoft Sans Serif"/>
          <w:szCs w:val="24"/>
          <w:lang w:val="uk-UA" w:eastAsia="uk-UA" w:bidi="uk-UA"/>
        </w:rPr>
      </w:pPr>
      <w:r w:rsidRPr="00F209D7">
        <w:rPr>
          <w:rFonts w:eastAsia="Microsoft Sans Serif"/>
          <w:szCs w:val="24"/>
          <w:lang w:val="uk-UA" w:eastAsia="uk-UA" w:bidi="uk-UA"/>
        </w:rPr>
        <w:tab/>
        <w:t>Затвердити відповідні зміни.</w:t>
      </w:r>
    </w:p>
    <w:p w:rsidR="00F209D7" w:rsidRPr="00F209D7" w:rsidRDefault="00F209D7" w:rsidP="00F209D7">
      <w:pPr>
        <w:tabs>
          <w:tab w:val="left" w:pos="284"/>
        </w:tabs>
        <w:jc w:val="both"/>
        <w:rPr>
          <w:rFonts w:eastAsia="Microsoft Sans Serif"/>
          <w:szCs w:val="24"/>
          <w:lang w:val="uk-UA" w:eastAsia="uk-UA" w:bidi="uk-UA"/>
        </w:rPr>
      </w:pPr>
      <w:r w:rsidRPr="00F209D7">
        <w:rPr>
          <w:rFonts w:eastAsia="Microsoft Sans Serif"/>
          <w:szCs w:val="24"/>
          <w:lang w:val="uk-UA" w:eastAsia="uk-UA" w:bidi="uk-UA"/>
        </w:rPr>
        <w:tab/>
        <w:t>Доручити члену Наглядової Ради Савченко Володимиру Андрійовичу провести державну реєстрацію Змін до Статуту Приватного акціонерного товариства «Слов’янський крейдо-вапняний завод».</w:t>
      </w:r>
    </w:p>
    <w:p w:rsidR="008550C2" w:rsidRPr="00F209D7" w:rsidRDefault="008550C2" w:rsidP="0074702E">
      <w:pPr>
        <w:tabs>
          <w:tab w:val="left" w:pos="284"/>
        </w:tabs>
        <w:jc w:val="both"/>
        <w:rPr>
          <w:rFonts w:eastAsia="Microsoft Sans Serif"/>
          <w:szCs w:val="24"/>
          <w:lang w:val="uk-UA" w:eastAsia="uk-UA" w:bidi="uk-UA"/>
        </w:rPr>
      </w:pPr>
    </w:p>
    <w:p w:rsidR="00D5108D" w:rsidRPr="00592299" w:rsidRDefault="00D5108D" w:rsidP="00AA37F1">
      <w:pPr>
        <w:ind w:firstLine="720"/>
        <w:jc w:val="both"/>
        <w:rPr>
          <w:szCs w:val="24"/>
          <w:lang w:val="en-US"/>
        </w:rPr>
      </w:pPr>
      <w:r>
        <w:rPr>
          <w:szCs w:val="24"/>
          <w:lang w:val="uk-UA"/>
        </w:rPr>
        <w:lastRenderedPageBreak/>
        <w:t>Адреса веб-сайту на, якому</w:t>
      </w:r>
      <w:r w:rsidR="005713A7">
        <w:rPr>
          <w:szCs w:val="24"/>
          <w:lang w:val="uk-UA"/>
        </w:rPr>
        <w:t xml:space="preserve"> буде</w:t>
      </w:r>
      <w:r>
        <w:rPr>
          <w:szCs w:val="24"/>
          <w:lang w:val="uk-UA"/>
        </w:rPr>
        <w:t xml:space="preserve"> розміщена  інформація з проектом рішень, щодо кожного з питань, включених до проекту порядку денного, а також інформація відповідно до ст.35 п.4 Закону України «Про акціонерні товариства» №514-</w:t>
      </w:r>
      <w:r>
        <w:rPr>
          <w:szCs w:val="24"/>
          <w:lang w:val="en-US"/>
        </w:rPr>
        <w:t>VI</w:t>
      </w:r>
      <w:r>
        <w:rPr>
          <w:szCs w:val="24"/>
        </w:rPr>
        <w:t xml:space="preserve"> </w:t>
      </w:r>
      <w:r>
        <w:rPr>
          <w:szCs w:val="24"/>
          <w:lang w:val="uk-UA"/>
        </w:rPr>
        <w:t xml:space="preserve">від 17.09.2008 – </w:t>
      </w:r>
      <w:hyperlink r:id="rId6" w:history="1">
        <w:r w:rsidR="0024776B" w:rsidRPr="00661FE8">
          <w:rPr>
            <w:rStyle w:val="a4"/>
            <w:szCs w:val="24"/>
            <w:lang w:val="en-US"/>
          </w:rPr>
          <w:t>www.skvz.com.ua</w:t>
        </w:r>
      </w:hyperlink>
      <w:r>
        <w:rPr>
          <w:szCs w:val="24"/>
          <w:lang w:val="en-US"/>
        </w:rPr>
        <w:t xml:space="preserve"> </w:t>
      </w:r>
    </w:p>
    <w:p w:rsidR="0007225E" w:rsidRPr="00423B0F" w:rsidRDefault="001E4589" w:rsidP="00AA37F1">
      <w:pPr>
        <w:ind w:firstLine="720"/>
        <w:jc w:val="both"/>
        <w:rPr>
          <w:szCs w:val="24"/>
          <w:lang w:val="uk-UA"/>
        </w:rPr>
      </w:pPr>
      <w:r w:rsidRPr="00423B0F">
        <w:rPr>
          <w:szCs w:val="24"/>
          <w:lang w:val="uk-UA"/>
        </w:rPr>
        <w:t xml:space="preserve">Ознайомитись з матеріалами по питаннях, внесених до порядку денного можливо в робочі дні, починаючи з </w:t>
      </w:r>
      <w:r w:rsidR="0024776B">
        <w:rPr>
          <w:szCs w:val="24"/>
          <w:lang w:val="uk-UA"/>
        </w:rPr>
        <w:t>01.04.2021</w:t>
      </w:r>
      <w:r w:rsidRPr="00423B0F">
        <w:rPr>
          <w:szCs w:val="24"/>
          <w:lang w:val="uk-UA"/>
        </w:rPr>
        <w:t xml:space="preserve"> з 10.00 до 12.00 години в кабінеті Голови Наглядової Ради</w:t>
      </w:r>
      <w:r w:rsidR="0007225E" w:rsidRPr="00423B0F">
        <w:rPr>
          <w:szCs w:val="24"/>
          <w:lang w:val="uk-UA"/>
        </w:rPr>
        <w:t xml:space="preserve"> який знаходиться в </w:t>
      </w:r>
      <w:proofErr w:type="spellStart"/>
      <w:r w:rsidR="0007225E" w:rsidRPr="00423B0F">
        <w:rPr>
          <w:szCs w:val="24"/>
          <w:lang w:val="uk-UA"/>
        </w:rPr>
        <w:t>адмін</w:t>
      </w:r>
      <w:proofErr w:type="spellEnd"/>
      <w:r w:rsidR="00D97326">
        <w:rPr>
          <w:szCs w:val="24"/>
          <w:lang w:val="uk-UA"/>
        </w:rPr>
        <w:t xml:space="preserve">. </w:t>
      </w:r>
      <w:r w:rsidR="0007225E" w:rsidRPr="00423B0F">
        <w:rPr>
          <w:szCs w:val="24"/>
          <w:lang w:val="uk-UA"/>
        </w:rPr>
        <w:t xml:space="preserve">будівлі Приватного акціонерного товариства «Слов’янський крейдо-вапняний завод» за </w:t>
      </w:r>
      <w:proofErr w:type="spellStart"/>
      <w:r w:rsidR="0007225E" w:rsidRPr="00423B0F">
        <w:rPr>
          <w:szCs w:val="24"/>
          <w:lang w:val="uk-UA"/>
        </w:rPr>
        <w:t>адресою</w:t>
      </w:r>
      <w:proofErr w:type="spellEnd"/>
      <w:r w:rsidR="0007225E" w:rsidRPr="00423B0F">
        <w:rPr>
          <w:szCs w:val="24"/>
          <w:lang w:val="uk-UA"/>
        </w:rPr>
        <w:t>: смт. Черкаське Слов’янський р-н Донецька обл</w:t>
      </w:r>
      <w:r w:rsidRPr="00423B0F">
        <w:rPr>
          <w:szCs w:val="24"/>
          <w:lang w:val="uk-UA"/>
        </w:rPr>
        <w:t xml:space="preserve">. </w:t>
      </w:r>
    </w:p>
    <w:p w:rsidR="00267B47" w:rsidRDefault="001E4589" w:rsidP="00AA37F1">
      <w:pPr>
        <w:ind w:firstLine="720"/>
        <w:jc w:val="both"/>
        <w:rPr>
          <w:szCs w:val="24"/>
          <w:lang w:val="uk-UA"/>
        </w:rPr>
      </w:pPr>
      <w:r w:rsidRPr="00423B0F">
        <w:rPr>
          <w:szCs w:val="24"/>
          <w:lang w:val="uk-UA"/>
        </w:rPr>
        <w:t xml:space="preserve">Особа відповідальна за порядок ознайомлення акціонерів з документами – Директор </w:t>
      </w:r>
      <w:proofErr w:type="spellStart"/>
      <w:r w:rsidRPr="00423B0F">
        <w:rPr>
          <w:szCs w:val="24"/>
          <w:lang w:val="uk-UA"/>
        </w:rPr>
        <w:t>Стрельцов</w:t>
      </w:r>
      <w:proofErr w:type="spellEnd"/>
      <w:r w:rsidRPr="00423B0F">
        <w:rPr>
          <w:szCs w:val="24"/>
          <w:lang w:val="uk-UA"/>
        </w:rPr>
        <w:t xml:space="preserve"> Володимир </w:t>
      </w:r>
      <w:proofErr w:type="spellStart"/>
      <w:r w:rsidRPr="00423B0F">
        <w:rPr>
          <w:szCs w:val="24"/>
          <w:lang w:val="uk-UA"/>
        </w:rPr>
        <w:t>Ізосимович</w:t>
      </w:r>
      <w:proofErr w:type="spellEnd"/>
      <w:r w:rsidRPr="00423B0F">
        <w:rPr>
          <w:szCs w:val="24"/>
          <w:lang w:val="uk-UA"/>
        </w:rPr>
        <w:t>.</w:t>
      </w:r>
    </w:p>
    <w:p w:rsidR="0007225E" w:rsidRPr="00423B0F" w:rsidRDefault="0007225E" w:rsidP="00AA37F1">
      <w:pPr>
        <w:ind w:firstLine="720"/>
        <w:jc w:val="both"/>
        <w:rPr>
          <w:szCs w:val="24"/>
          <w:lang w:val="uk-UA"/>
        </w:rPr>
      </w:pPr>
      <w:r w:rsidRPr="00423B0F">
        <w:rPr>
          <w:szCs w:val="24"/>
          <w:lang w:val="uk-UA"/>
        </w:rPr>
        <w:t>Права надані акціонерам відповідно до вимог ст. 36 та ст. 38 Закону України «Про акціонерні товариства» від 17.09.2008 № 514-</w:t>
      </w:r>
      <w:r w:rsidRPr="00423B0F">
        <w:rPr>
          <w:szCs w:val="24"/>
          <w:lang w:val="en-US"/>
        </w:rPr>
        <w:t>V</w:t>
      </w:r>
      <w:r w:rsidRPr="00423B0F">
        <w:rPr>
          <w:szCs w:val="24"/>
          <w:lang w:val="uk-UA"/>
        </w:rPr>
        <w:t>І, якими вони можуть користуватись після отримання повідомлення про проведення загальних зборів.</w:t>
      </w:r>
    </w:p>
    <w:p w:rsidR="0007225E" w:rsidRPr="00423B0F" w:rsidRDefault="0007225E" w:rsidP="00AA37F1">
      <w:pPr>
        <w:ind w:firstLine="720"/>
        <w:jc w:val="both"/>
        <w:rPr>
          <w:szCs w:val="24"/>
          <w:lang w:val="uk-UA"/>
        </w:rPr>
      </w:pPr>
      <w:r w:rsidRPr="00423B0F">
        <w:rPr>
          <w:szCs w:val="24"/>
          <w:lang w:val="uk-UA"/>
        </w:rPr>
        <w:t>Від дати надіслання повідомлення про проведе</w:t>
      </w:r>
      <w:r w:rsidR="00673E61">
        <w:rPr>
          <w:szCs w:val="24"/>
          <w:lang w:val="uk-UA"/>
        </w:rPr>
        <w:t xml:space="preserve">ння загальних зборів до </w:t>
      </w:r>
      <w:r w:rsidR="0024776B">
        <w:rPr>
          <w:szCs w:val="24"/>
          <w:lang w:val="uk-UA"/>
        </w:rPr>
        <w:t>30.04.2021</w:t>
      </w:r>
      <w:r w:rsidRPr="00423B0F">
        <w:rPr>
          <w:szCs w:val="24"/>
          <w:lang w:val="uk-UA"/>
        </w:rPr>
        <w:t xml:space="preserve"> (дати проведення загальних зборів) акціонери мають можливість ознайомитись із документами, необхідними для прийняття рішень з питань порядку денного. Порядок, місце та час ознайомлення наведені вище за текстом. Акціонери мають право надавати письмові</w:t>
      </w:r>
      <w:r w:rsidR="003B45B2" w:rsidRPr="00423B0F">
        <w:rPr>
          <w:szCs w:val="24"/>
          <w:lang w:val="uk-UA"/>
        </w:rPr>
        <w:t xml:space="preserve"> запитання, щодо питань включених до проекту порядку денного загальних зборів, та отримувати </w:t>
      </w:r>
      <w:r w:rsidR="00673E61">
        <w:rPr>
          <w:szCs w:val="24"/>
          <w:lang w:val="uk-UA"/>
        </w:rPr>
        <w:t xml:space="preserve">письмові відповіді до </w:t>
      </w:r>
      <w:r w:rsidR="0024776B">
        <w:rPr>
          <w:szCs w:val="24"/>
          <w:lang w:val="uk-UA"/>
        </w:rPr>
        <w:t>30.04.2021</w:t>
      </w:r>
      <w:r w:rsidR="003B45B2" w:rsidRPr="00423B0F">
        <w:rPr>
          <w:szCs w:val="24"/>
          <w:lang w:val="uk-UA"/>
        </w:rPr>
        <w:t xml:space="preserve"> (дати проведення загальних зборів). Акціонери мають право 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Пропозиції вносяться не пізніше </w:t>
      </w:r>
      <w:r w:rsidR="00525F09" w:rsidRPr="00423B0F">
        <w:rPr>
          <w:szCs w:val="24"/>
          <w:lang w:val="uk-UA"/>
        </w:rPr>
        <w:t>20 днів до дати проведення загальних зборів акціонерного товариства, а щодо кандидатів до складу органів товариства,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або про те, що кандидат пропонується на посаду члена Наглядової Ради – незалежного директора.</w:t>
      </w:r>
      <w:r w:rsidR="00834412" w:rsidRPr="00423B0F">
        <w:rPr>
          <w:szCs w:val="24"/>
          <w:lang w:val="uk-UA"/>
        </w:rPr>
        <w:t xml:space="preserve"> Пропозиція до проекту порядку денного загальних зборів акціонерного товариства подається в письмовій формі із зазначенням прізвища акціонера, який її вносить, а також кількості, типу належних йому акцій, змісту пропозиції до питання та проекту рішення, а також кількості, типу акцій, що належать кандидату, який пропонується цим акціонером до складу органів товариства.</w:t>
      </w:r>
    </w:p>
    <w:p w:rsidR="001E4589" w:rsidRPr="00423B0F" w:rsidRDefault="001E4589" w:rsidP="00AA37F1">
      <w:pPr>
        <w:jc w:val="both"/>
        <w:rPr>
          <w:szCs w:val="24"/>
          <w:lang w:val="uk-UA"/>
        </w:rPr>
      </w:pPr>
      <w:r w:rsidRPr="00423B0F">
        <w:rPr>
          <w:szCs w:val="24"/>
          <w:lang w:val="uk-UA"/>
        </w:rPr>
        <w:tab/>
        <w:t>Особі яка прибула до участі у загальних зборах, при собі необхідно мати документи, які посвідчують цю особу та підтверджують її повноваження, оформлені згідно діючого законодавства.</w:t>
      </w:r>
    </w:p>
    <w:p w:rsidR="009B5801" w:rsidRPr="00423B0F" w:rsidRDefault="000353F9" w:rsidP="00AA37F1">
      <w:pPr>
        <w:jc w:val="both"/>
        <w:rPr>
          <w:szCs w:val="24"/>
          <w:lang w:val="uk-UA"/>
        </w:rPr>
      </w:pPr>
      <w:r w:rsidRPr="00423B0F">
        <w:rPr>
          <w:szCs w:val="24"/>
          <w:lang w:val="uk-UA"/>
        </w:rPr>
        <w:tab/>
        <w:t>Порядок участі та голосування на загальних зборах за довіреністю.</w:t>
      </w:r>
    </w:p>
    <w:p w:rsidR="000353F9" w:rsidRPr="00423B0F" w:rsidRDefault="000353F9" w:rsidP="00AA37F1">
      <w:pPr>
        <w:jc w:val="both"/>
        <w:rPr>
          <w:szCs w:val="24"/>
          <w:lang w:val="uk-UA"/>
        </w:rPr>
      </w:pPr>
      <w:r w:rsidRPr="00423B0F">
        <w:rPr>
          <w:szCs w:val="24"/>
          <w:lang w:val="uk-UA"/>
        </w:rPr>
        <w:t xml:space="preserve">Повідомлення акціонером акціонерне товариство про призначення, зміну або відкликання свого представника за довіреністю може здійснюватися за допомогою засобів електронного зв’язку відповідно до законодавства про електронний документообіг за </w:t>
      </w:r>
      <w:proofErr w:type="spellStart"/>
      <w:r w:rsidRPr="00423B0F">
        <w:rPr>
          <w:szCs w:val="24"/>
          <w:lang w:val="uk-UA"/>
        </w:rPr>
        <w:t>адресою</w:t>
      </w:r>
      <w:proofErr w:type="spellEnd"/>
      <w:r w:rsidRPr="00423B0F">
        <w:rPr>
          <w:szCs w:val="24"/>
          <w:lang w:val="uk-UA"/>
        </w:rPr>
        <w:t xml:space="preserve">: </w:t>
      </w:r>
      <w:bookmarkStart w:id="1" w:name="OLE_LINK1"/>
      <w:bookmarkStart w:id="2" w:name="OLE_LINK2"/>
      <w:r w:rsidR="00345E3F">
        <w:fldChar w:fldCharType="begin"/>
      </w:r>
      <w:r w:rsidR="00345E3F">
        <w:instrText xml:space="preserve"> HYPERLINK "http://www.korp.sekretar@smiz.com.ua" </w:instrText>
      </w:r>
      <w:r w:rsidR="00345E3F">
        <w:fldChar w:fldCharType="separate"/>
      </w:r>
      <w:r w:rsidRPr="00423B0F">
        <w:rPr>
          <w:rStyle w:val="a4"/>
          <w:color w:val="auto"/>
          <w:szCs w:val="24"/>
          <w:lang w:val="en-US"/>
        </w:rPr>
        <w:t>www</w:t>
      </w:r>
      <w:r w:rsidRPr="00423B0F">
        <w:rPr>
          <w:rStyle w:val="a4"/>
          <w:color w:val="auto"/>
          <w:szCs w:val="24"/>
        </w:rPr>
        <w:t>.</w:t>
      </w:r>
      <w:r w:rsidRPr="00423B0F">
        <w:rPr>
          <w:rStyle w:val="a4"/>
          <w:color w:val="auto"/>
          <w:szCs w:val="24"/>
          <w:lang w:val="en-US"/>
        </w:rPr>
        <w:t>korp</w:t>
      </w:r>
      <w:r w:rsidRPr="00423B0F">
        <w:rPr>
          <w:rStyle w:val="a4"/>
          <w:color w:val="auto"/>
          <w:szCs w:val="24"/>
        </w:rPr>
        <w:t>.</w:t>
      </w:r>
      <w:r w:rsidRPr="00423B0F">
        <w:rPr>
          <w:rStyle w:val="a4"/>
          <w:color w:val="auto"/>
          <w:szCs w:val="24"/>
          <w:lang w:val="en-US"/>
        </w:rPr>
        <w:t>sekretar</w:t>
      </w:r>
      <w:r w:rsidRPr="00423B0F">
        <w:rPr>
          <w:rStyle w:val="a4"/>
          <w:color w:val="auto"/>
          <w:szCs w:val="24"/>
        </w:rPr>
        <w:t>@</w:t>
      </w:r>
      <w:r w:rsidRPr="00423B0F">
        <w:rPr>
          <w:rStyle w:val="a4"/>
          <w:color w:val="auto"/>
          <w:szCs w:val="24"/>
          <w:lang w:val="en-US"/>
        </w:rPr>
        <w:t>smiz</w:t>
      </w:r>
      <w:r w:rsidRPr="00423B0F">
        <w:rPr>
          <w:rStyle w:val="a4"/>
          <w:color w:val="auto"/>
          <w:szCs w:val="24"/>
        </w:rPr>
        <w:t>.</w:t>
      </w:r>
      <w:r w:rsidRPr="00423B0F">
        <w:rPr>
          <w:rStyle w:val="a4"/>
          <w:color w:val="auto"/>
          <w:szCs w:val="24"/>
          <w:lang w:val="en-US"/>
        </w:rPr>
        <w:t>com</w:t>
      </w:r>
      <w:r w:rsidRPr="00423B0F">
        <w:rPr>
          <w:rStyle w:val="a4"/>
          <w:color w:val="auto"/>
          <w:szCs w:val="24"/>
        </w:rPr>
        <w:t>.</w:t>
      </w:r>
      <w:proofErr w:type="spellStart"/>
      <w:r w:rsidRPr="00423B0F">
        <w:rPr>
          <w:rStyle w:val="a4"/>
          <w:color w:val="auto"/>
          <w:szCs w:val="24"/>
          <w:lang w:val="en-US"/>
        </w:rPr>
        <w:t>ua</w:t>
      </w:r>
      <w:proofErr w:type="spellEnd"/>
      <w:r w:rsidR="00345E3F">
        <w:rPr>
          <w:rStyle w:val="a4"/>
          <w:color w:val="auto"/>
          <w:szCs w:val="24"/>
          <w:lang w:val="en-US"/>
        </w:rPr>
        <w:fldChar w:fldCharType="end"/>
      </w:r>
      <w:bookmarkEnd w:id="1"/>
      <w:bookmarkEnd w:id="2"/>
      <w:r w:rsidRPr="00423B0F">
        <w:rPr>
          <w:szCs w:val="24"/>
          <w:lang w:val="uk-UA"/>
        </w:rPr>
        <w:t>. Довіреність на право участі у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w:t>
      </w:r>
    </w:p>
    <w:p w:rsidR="00E74D64" w:rsidRPr="00423B0F" w:rsidRDefault="00E74D64" w:rsidP="00202FB3">
      <w:pPr>
        <w:rPr>
          <w:szCs w:val="24"/>
          <w:highlight w:val="yellow"/>
          <w:lang w:val="uk-UA"/>
        </w:rPr>
      </w:pPr>
    </w:p>
    <w:p w:rsidR="009E5719" w:rsidRPr="00423B0F" w:rsidRDefault="008F79FC" w:rsidP="009E5719">
      <w:pPr>
        <w:jc w:val="both"/>
        <w:rPr>
          <w:szCs w:val="24"/>
          <w:lang w:val="uk-UA"/>
        </w:rPr>
      </w:pPr>
      <w:r>
        <w:rPr>
          <w:szCs w:val="24"/>
          <w:lang w:val="uk-UA"/>
        </w:rPr>
        <w:t>ОСНОВНІ ПОКАЗНИКИ ФІНА</w:t>
      </w:r>
      <w:r w:rsidR="009E5719" w:rsidRPr="00423B0F">
        <w:rPr>
          <w:szCs w:val="24"/>
          <w:lang w:val="uk-UA"/>
        </w:rPr>
        <w:t>НСОВО-ГОСОПДАРСЬКОЇ ДІЯЛЬНОСТІ</w:t>
      </w:r>
    </w:p>
    <w:p w:rsidR="009E5719" w:rsidRPr="00423B0F" w:rsidRDefault="009E5719" w:rsidP="009E5719">
      <w:pPr>
        <w:jc w:val="both"/>
        <w:rPr>
          <w:szCs w:val="24"/>
          <w:lang w:val="uk-UA"/>
        </w:rPr>
      </w:pPr>
      <w:r w:rsidRPr="00423B0F">
        <w:rPr>
          <w:szCs w:val="24"/>
          <w:lang w:val="uk-UA"/>
        </w:rPr>
        <w:t xml:space="preserve">                                                                                                                                 (тис.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123"/>
        <w:gridCol w:w="1417"/>
      </w:tblGrid>
      <w:tr w:rsidR="00423B0F" w:rsidRPr="00423B0F" w:rsidTr="004A23C8">
        <w:tc>
          <w:tcPr>
            <w:tcW w:w="5920" w:type="dxa"/>
            <w:vMerge w:val="restart"/>
          </w:tcPr>
          <w:p w:rsidR="009E5719" w:rsidRPr="00423B0F" w:rsidRDefault="009E5719" w:rsidP="00C44550">
            <w:pPr>
              <w:jc w:val="both"/>
              <w:rPr>
                <w:szCs w:val="24"/>
                <w:lang w:val="uk-UA"/>
              </w:rPr>
            </w:pPr>
            <w:r w:rsidRPr="00423B0F">
              <w:rPr>
                <w:szCs w:val="24"/>
                <w:lang w:val="uk-UA"/>
              </w:rPr>
              <w:t>Найменування показника</w:t>
            </w:r>
          </w:p>
        </w:tc>
        <w:tc>
          <w:tcPr>
            <w:tcW w:w="2540" w:type="dxa"/>
            <w:gridSpan w:val="2"/>
          </w:tcPr>
          <w:p w:rsidR="009E5719" w:rsidRPr="00423B0F" w:rsidRDefault="009E5719" w:rsidP="00C44550">
            <w:pPr>
              <w:jc w:val="center"/>
              <w:rPr>
                <w:szCs w:val="24"/>
                <w:lang w:val="uk-UA"/>
              </w:rPr>
            </w:pPr>
            <w:r w:rsidRPr="00423B0F">
              <w:rPr>
                <w:szCs w:val="24"/>
                <w:lang w:val="uk-UA"/>
              </w:rPr>
              <w:t>Період</w:t>
            </w:r>
          </w:p>
        </w:tc>
      </w:tr>
      <w:tr w:rsidR="00423B0F" w:rsidRPr="00423B0F" w:rsidTr="004A23C8">
        <w:tc>
          <w:tcPr>
            <w:tcW w:w="5920" w:type="dxa"/>
            <w:vMerge/>
          </w:tcPr>
          <w:p w:rsidR="009E5719" w:rsidRPr="00423B0F" w:rsidRDefault="009E5719" w:rsidP="00C44550">
            <w:pPr>
              <w:jc w:val="both"/>
              <w:rPr>
                <w:szCs w:val="24"/>
              </w:rPr>
            </w:pPr>
          </w:p>
        </w:tc>
        <w:tc>
          <w:tcPr>
            <w:tcW w:w="1123" w:type="dxa"/>
          </w:tcPr>
          <w:p w:rsidR="009E5719" w:rsidRPr="00423B0F" w:rsidRDefault="009E5719" w:rsidP="00C44550">
            <w:pPr>
              <w:jc w:val="center"/>
              <w:rPr>
                <w:szCs w:val="24"/>
                <w:lang w:val="uk-UA"/>
              </w:rPr>
            </w:pPr>
            <w:r w:rsidRPr="00423B0F">
              <w:rPr>
                <w:szCs w:val="24"/>
                <w:lang w:val="uk-UA"/>
              </w:rPr>
              <w:t>Звітний</w:t>
            </w:r>
          </w:p>
          <w:p w:rsidR="009E5719" w:rsidRPr="00423B0F" w:rsidRDefault="0024776B" w:rsidP="00C44550">
            <w:pPr>
              <w:jc w:val="center"/>
              <w:rPr>
                <w:szCs w:val="24"/>
                <w:lang w:val="uk-UA"/>
              </w:rPr>
            </w:pPr>
            <w:r>
              <w:rPr>
                <w:szCs w:val="24"/>
                <w:lang w:val="uk-UA"/>
              </w:rPr>
              <w:t>2020</w:t>
            </w:r>
            <w:r w:rsidR="009E5719" w:rsidRPr="00423B0F">
              <w:rPr>
                <w:szCs w:val="24"/>
                <w:lang w:val="uk-UA"/>
              </w:rPr>
              <w:t xml:space="preserve"> рік</w:t>
            </w:r>
          </w:p>
        </w:tc>
        <w:tc>
          <w:tcPr>
            <w:tcW w:w="1417" w:type="dxa"/>
          </w:tcPr>
          <w:p w:rsidR="009E5719" w:rsidRPr="00423B0F" w:rsidRDefault="009E5719" w:rsidP="00C44550">
            <w:pPr>
              <w:jc w:val="center"/>
              <w:rPr>
                <w:szCs w:val="24"/>
                <w:lang w:val="uk-UA"/>
              </w:rPr>
            </w:pPr>
            <w:r w:rsidRPr="00423B0F">
              <w:rPr>
                <w:szCs w:val="24"/>
                <w:lang w:val="uk-UA"/>
              </w:rPr>
              <w:t>Попередній</w:t>
            </w:r>
          </w:p>
          <w:p w:rsidR="009E5719" w:rsidRPr="00423B0F" w:rsidRDefault="0024776B" w:rsidP="00C44550">
            <w:pPr>
              <w:jc w:val="center"/>
              <w:rPr>
                <w:szCs w:val="24"/>
                <w:lang w:val="uk-UA"/>
              </w:rPr>
            </w:pPr>
            <w:r>
              <w:rPr>
                <w:szCs w:val="24"/>
                <w:lang w:val="uk-UA"/>
              </w:rPr>
              <w:t>2019</w:t>
            </w:r>
            <w:r w:rsidR="009E5719" w:rsidRPr="00423B0F">
              <w:rPr>
                <w:szCs w:val="24"/>
                <w:lang w:val="uk-UA"/>
              </w:rPr>
              <w:t xml:space="preserve"> рік</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Усього активів</w:t>
            </w:r>
          </w:p>
        </w:tc>
        <w:tc>
          <w:tcPr>
            <w:tcW w:w="1123" w:type="dxa"/>
          </w:tcPr>
          <w:p w:rsidR="00AA13B4" w:rsidRPr="006670A9" w:rsidRDefault="006670A9" w:rsidP="00AA13B4">
            <w:pPr>
              <w:jc w:val="center"/>
              <w:rPr>
                <w:szCs w:val="24"/>
                <w:lang w:val="uk-UA"/>
              </w:rPr>
            </w:pPr>
            <w:r>
              <w:rPr>
                <w:szCs w:val="24"/>
                <w:lang w:val="uk-UA"/>
              </w:rPr>
              <w:t>71738</w:t>
            </w:r>
          </w:p>
        </w:tc>
        <w:tc>
          <w:tcPr>
            <w:tcW w:w="1417" w:type="dxa"/>
          </w:tcPr>
          <w:p w:rsidR="00AA13B4" w:rsidRPr="004A23C8" w:rsidRDefault="006670A9" w:rsidP="00AA13B4">
            <w:pPr>
              <w:jc w:val="center"/>
              <w:rPr>
                <w:szCs w:val="24"/>
                <w:lang w:val="en-US"/>
              </w:rPr>
            </w:pPr>
            <w:r>
              <w:rPr>
                <w:szCs w:val="24"/>
              </w:rPr>
              <w:t>71596</w:t>
            </w:r>
          </w:p>
        </w:tc>
      </w:tr>
      <w:tr w:rsidR="00AA13B4" w:rsidRPr="00423B0F" w:rsidTr="004A23C8">
        <w:tc>
          <w:tcPr>
            <w:tcW w:w="5920" w:type="dxa"/>
          </w:tcPr>
          <w:p w:rsidR="00AA13B4" w:rsidRPr="004E2AB0" w:rsidRDefault="00AA13B4" w:rsidP="00AA13B4">
            <w:pPr>
              <w:jc w:val="both"/>
              <w:rPr>
                <w:szCs w:val="24"/>
                <w:lang w:val="en-US"/>
              </w:rPr>
            </w:pPr>
            <w:r w:rsidRPr="00423B0F">
              <w:rPr>
                <w:szCs w:val="24"/>
                <w:lang w:val="uk-UA"/>
              </w:rPr>
              <w:t>Основні засоби</w:t>
            </w:r>
            <w:r>
              <w:rPr>
                <w:szCs w:val="24"/>
                <w:lang w:val="en-US"/>
              </w:rPr>
              <w:t xml:space="preserve"> (</w:t>
            </w:r>
            <w:r>
              <w:rPr>
                <w:szCs w:val="24"/>
                <w:lang w:val="uk-UA"/>
              </w:rPr>
              <w:t>за залишковою вартістю</w:t>
            </w:r>
            <w:r>
              <w:rPr>
                <w:szCs w:val="24"/>
                <w:lang w:val="en-US"/>
              </w:rPr>
              <w:t>)</w:t>
            </w:r>
          </w:p>
        </w:tc>
        <w:tc>
          <w:tcPr>
            <w:tcW w:w="1123" w:type="dxa"/>
          </w:tcPr>
          <w:p w:rsidR="00AA13B4" w:rsidRPr="006670A9" w:rsidRDefault="006670A9" w:rsidP="00AA13B4">
            <w:pPr>
              <w:jc w:val="center"/>
              <w:rPr>
                <w:szCs w:val="24"/>
                <w:lang w:val="uk-UA"/>
              </w:rPr>
            </w:pPr>
            <w:r>
              <w:rPr>
                <w:szCs w:val="24"/>
                <w:lang w:val="uk-UA"/>
              </w:rPr>
              <w:t>50338</w:t>
            </w:r>
          </w:p>
        </w:tc>
        <w:tc>
          <w:tcPr>
            <w:tcW w:w="1417" w:type="dxa"/>
          </w:tcPr>
          <w:p w:rsidR="00AA13B4" w:rsidRPr="004A23C8" w:rsidRDefault="0024776B" w:rsidP="00AA13B4">
            <w:pPr>
              <w:jc w:val="center"/>
              <w:rPr>
                <w:szCs w:val="24"/>
                <w:lang w:val="en-US"/>
              </w:rPr>
            </w:pPr>
            <w:r>
              <w:rPr>
                <w:szCs w:val="24"/>
              </w:rPr>
              <w:t>50072</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Запаси</w:t>
            </w:r>
          </w:p>
        </w:tc>
        <w:tc>
          <w:tcPr>
            <w:tcW w:w="1123" w:type="dxa"/>
          </w:tcPr>
          <w:p w:rsidR="00AA13B4" w:rsidRPr="006670A9" w:rsidRDefault="006670A9" w:rsidP="00AA13B4">
            <w:pPr>
              <w:jc w:val="center"/>
              <w:rPr>
                <w:szCs w:val="24"/>
                <w:lang w:val="uk-UA"/>
              </w:rPr>
            </w:pPr>
            <w:r>
              <w:rPr>
                <w:szCs w:val="24"/>
                <w:lang w:val="uk-UA"/>
              </w:rPr>
              <w:t>4546</w:t>
            </w:r>
          </w:p>
        </w:tc>
        <w:tc>
          <w:tcPr>
            <w:tcW w:w="1417" w:type="dxa"/>
          </w:tcPr>
          <w:p w:rsidR="00AA13B4" w:rsidRPr="004A23C8" w:rsidRDefault="0024776B" w:rsidP="00AA13B4">
            <w:pPr>
              <w:jc w:val="center"/>
              <w:rPr>
                <w:szCs w:val="24"/>
                <w:lang w:val="en-US"/>
              </w:rPr>
            </w:pPr>
            <w:r>
              <w:rPr>
                <w:szCs w:val="24"/>
              </w:rPr>
              <w:t>3544</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Сумарна дебіторська заборгованість</w:t>
            </w:r>
          </w:p>
        </w:tc>
        <w:tc>
          <w:tcPr>
            <w:tcW w:w="1123" w:type="dxa"/>
          </w:tcPr>
          <w:p w:rsidR="00AA13B4" w:rsidRPr="006670A9" w:rsidRDefault="006670A9" w:rsidP="00AA13B4">
            <w:pPr>
              <w:jc w:val="center"/>
              <w:rPr>
                <w:szCs w:val="24"/>
                <w:lang w:val="uk-UA"/>
              </w:rPr>
            </w:pPr>
            <w:r>
              <w:rPr>
                <w:szCs w:val="24"/>
                <w:lang w:val="uk-UA"/>
              </w:rPr>
              <w:t>1866</w:t>
            </w:r>
          </w:p>
        </w:tc>
        <w:tc>
          <w:tcPr>
            <w:tcW w:w="1417" w:type="dxa"/>
          </w:tcPr>
          <w:p w:rsidR="00AA13B4" w:rsidRPr="00F217B0" w:rsidRDefault="006670A9" w:rsidP="00AA13B4">
            <w:pPr>
              <w:jc w:val="center"/>
              <w:rPr>
                <w:szCs w:val="24"/>
              </w:rPr>
            </w:pPr>
            <w:r>
              <w:rPr>
                <w:szCs w:val="24"/>
              </w:rPr>
              <w:t>2</w:t>
            </w:r>
            <w:r w:rsidRPr="006670A9">
              <w:rPr>
                <w:szCs w:val="24"/>
              </w:rPr>
              <w:t>958</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Грошові кошти та їх еквіваленти</w:t>
            </w:r>
          </w:p>
        </w:tc>
        <w:tc>
          <w:tcPr>
            <w:tcW w:w="1123" w:type="dxa"/>
          </w:tcPr>
          <w:p w:rsidR="00AA13B4" w:rsidRPr="006670A9" w:rsidRDefault="006670A9" w:rsidP="00AA13B4">
            <w:pPr>
              <w:jc w:val="center"/>
              <w:rPr>
                <w:szCs w:val="24"/>
                <w:lang w:val="uk-UA"/>
              </w:rPr>
            </w:pPr>
            <w:r>
              <w:rPr>
                <w:szCs w:val="24"/>
                <w:lang w:val="uk-UA"/>
              </w:rPr>
              <w:t>368</w:t>
            </w:r>
          </w:p>
        </w:tc>
        <w:tc>
          <w:tcPr>
            <w:tcW w:w="1417" w:type="dxa"/>
          </w:tcPr>
          <w:p w:rsidR="00AA13B4" w:rsidRPr="00F217B0" w:rsidRDefault="0024776B" w:rsidP="00AA13B4">
            <w:pPr>
              <w:jc w:val="center"/>
              <w:rPr>
                <w:szCs w:val="24"/>
                <w:lang w:val="en-US"/>
              </w:rPr>
            </w:pPr>
            <w:r>
              <w:rPr>
                <w:szCs w:val="24"/>
              </w:rPr>
              <w:t>419</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Нерозподілений прибуток</w:t>
            </w:r>
            <w:r>
              <w:rPr>
                <w:szCs w:val="24"/>
                <w:lang w:val="uk-UA"/>
              </w:rPr>
              <w:t xml:space="preserve"> (непокритий збиток)</w:t>
            </w:r>
          </w:p>
        </w:tc>
        <w:tc>
          <w:tcPr>
            <w:tcW w:w="1123" w:type="dxa"/>
          </w:tcPr>
          <w:p w:rsidR="00AA13B4" w:rsidRPr="006670A9" w:rsidRDefault="006670A9" w:rsidP="00AA13B4">
            <w:pPr>
              <w:jc w:val="center"/>
              <w:rPr>
                <w:szCs w:val="24"/>
                <w:lang w:val="uk-UA"/>
              </w:rPr>
            </w:pPr>
            <w:r>
              <w:rPr>
                <w:szCs w:val="24"/>
                <w:lang w:val="uk-UA"/>
              </w:rPr>
              <w:t>15510</w:t>
            </w:r>
          </w:p>
        </w:tc>
        <w:tc>
          <w:tcPr>
            <w:tcW w:w="1417" w:type="dxa"/>
          </w:tcPr>
          <w:p w:rsidR="00AA13B4" w:rsidRPr="00F217B0" w:rsidRDefault="006670A9" w:rsidP="005254F8">
            <w:pPr>
              <w:jc w:val="center"/>
              <w:rPr>
                <w:szCs w:val="24"/>
              </w:rPr>
            </w:pPr>
            <w:r>
              <w:rPr>
                <w:szCs w:val="24"/>
              </w:rPr>
              <w:t>14402</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Власний капітал</w:t>
            </w:r>
          </w:p>
        </w:tc>
        <w:tc>
          <w:tcPr>
            <w:tcW w:w="1123" w:type="dxa"/>
          </w:tcPr>
          <w:p w:rsidR="00AA13B4" w:rsidRPr="006670A9" w:rsidRDefault="006670A9" w:rsidP="00AA13B4">
            <w:pPr>
              <w:jc w:val="center"/>
              <w:rPr>
                <w:szCs w:val="24"/>
                <w:lang w:val="uk-UA"/>
              </w:rPr>
            </w:pPr>
            <w:r>
              <w:rPr>
                <w:szCs w:val="24"/>
                <w:lang w:val="uk-UA"/>
              </w:rPr>
              <w:t>61750</w:t>
            </w:r>
          </w:p>
        </w:tc>
        <w:tc>
          <w:tcPr>
            <w:tcW w:w="1417" w:type="dxa"/>
          </w:tcPr>
          <w:p w:rsidR="00AA13B4" w:rsidRPr="00F217B0" w:rsidRDefault="006670A9" w:rsidP="005254F8">
            <w:pPr>
              <w:jc w:val="center"/>
              <w:rPr>
                <w:szCs w:val="24"/>
              </w:rPr>
            </w:pPr>
            <w:r>
              <w:rPr>
                <w:szCs w:val="24"/>
              </w:rPr>
              <w:t>60642</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Статутний капітал</w:t>
            </w:r>
          </w:p>
        </w:tc>
        <w:tc>
          <w:tcPr>
            <w:tcW w:w="1123" w:type="dxa"/>
          </w:tcPr>
          <w:p w:rsidR="00AA13B4" w:rsidRPr="006670A9" w:rsidRDefault="006670A9" w:rsidP="00AA13B4">
            <w:pPr>
              <w:jc w:val="center"/>
              <w:rPr>
                <w:szCs w:val="24"/>
                <w:lang w:val="uk-UA"/>
              </w:rPr>
            </w:pPr>
            <w:r>
              <w:rPr>
                <w:szCs w:val="24"/>
                <w:lang w:val="uk-UA"/>
              </w:rPr>
              <w:t>1,200</w:t>
            </w:r>
          </w:p>
        </w:tc>
        <w:tc>
          <w:tcPr>
            <w:tcW w:w="1417" w:type="dxa"/>
          </w:tcPr>
          <w:p w:rsidR="00AA13B4" w:rsidRPr="00423B0F" w:rsidRDefault="0024776B" w:rsidP="00AA13B4">
            <w:pPr>
              <w:jc w:val="center"/>
              <w:rPr>
                <w:szCs w:val="24"/>
                <w:lang w:val="en-US"/>
              </w:rPr>
            </w:pPr>
            <w:r>
              <w:rPr>
                <w:szCs w:val="24"/>
              </w:rPr>
              <w:t>1,200</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 xml:space="preserve">Довгострокові зобов’язання </w:t>
            </w:r>
          </w:p>
        </w:tc>
        <w:tc>
          <w:tcPr>
            <w:tcW w:w="1123" w:type="dxa"/>
          </w:tcPr>
          <w:p w:rsidR="00AA13B4" w:rsidRPr="005254F8" w:rsidRDefault="005254F8" w:rsidP="00AA13B4">
            <w:pPr>
              <w:jc w:val="center"/>
              <w:rPr>
                <w:szCs w:val="24"/>
              </w:rPr>
            </w:pPr>
            <w:r>
              <w:rPr>
                <w:szCs w:val="24"/>
              </w:rPr>
              <w:t>-</w:t>
            </w:r>
          </w:p>
        </w:tc>
        <w:tc>
          <w:tcPr>
            <w:tcW w:w="1417" w:type="dxa"/>
          </w:tcPr>
          <w:p w:rsidR="00AA13B4" w:rsidRPr="0024776B" w:rsidRDefault="0024776B" w:rsidP="00AA13B4">
            <w:pPr>
              <w:jc w:val="center"/>
              <w:rPr>
                <w:szCs w:val="24"/>
                <w:lang w:val="uk-UA"/>
              </w:rPr>
            </w:pPr>
            <w:r>
              <w:rPr>
                <w:szCs w:val="24"/>
                <w:lang w:val="uk-UA"/>
              </w:rPr>
              <w:t>-</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 xml:space="preserve">Поточні зобов’язання </w:t>
            </w:r>
          </w:p>
        </w:tc>
        <w:tc>
          <w:tcPr>
            <w:tcW w:w="1123" w:type="dxa"/>
          </w:tcPr>
          <w:p w:rsidR="00AA13B4" w:rsidRPr="0091709F" w:rsidRDefault="0091709F" w:rsidP="00AA13B4">
            <w:pPr>
              <w:jc w:val="center"/>
              <w:rPr>
                <w:szCs w:val="24"/>
                <w:lang w:val="uk-UA"/>
              </w:rPr>
            </w:pPr>
            <w:r>
              <w:rPr>
                <w:szCs w:val="24"/>
                <w:lang w:val="uk-UA"/>
              </w:rPr>
              <w:t>9988</w:t>
            </w:r>
          </w:p>
        </w:tc>
        <w:tc>
          <w:tcPr>
            <w:tcW w:w="1417" w:type="dxa"/>
          </w:tcPr>
          <w:p w:rsidR="00AA13B4" w:rsidRPr="005254F8" w:rsidRDefault="0024776B" w:rsidP="005254F8">
            <w:pPr>
              <w:jc w:val="center"/>
              <w:rPr>
                <w:szCs w:val="24"/>
              </w:rPr>
            </w:pPr>
            <w:r>
              <w:rPr>
                <w:szCs w:val="24"/>
              </w:rPr>
              <w:t>10954</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lastRenderedPageBreak/>
              <w:t>Чистий прибуток (збиток)</w:t>
            </w:r>
          </w:p>
        </w:tc>
        <w:tc>
          <w:tcPr>
            <w:tcW w:w="1123" w:type="dxa"/>
          </w:tcPr>
          <w:p w:rsidR="00AA13B4" w:rsidRPr="0091709F" w:rsidRDefault="0091709F" w:rsidP="00AA13B4">
            <w:pPr>
              <w:jc w:val="center"/>
              <w:rPr>
                <w:szCs w:val="24"/>
                <w:lang w:val="uk-UA"/>
              </w:rPr>
            </w:pPr>
            <w:r>
              <w:rPr>
                <w:szCs w:val="24"/>
                <w:lang w:val="uk-UA"/>
              </w:rPr>
              <w:t>1108</w:t>
            </w:r>
          </w:p>
        </w:tc>
        <w:tc>
          <w:tcPr>
            <w:tcW w:w="1417" w:type="dxa"/>
          </w:tcPr>
          <w:p w:rsidR="00AA13B4" w:rsidRPr="004A23C8" w:rsidRDefault="0024776B" w:rsidP="00AA13B4">
            <w:pPr>
              <w:jc w:val="center"/>
              <w:rPr>
                <w:szCs w:val="24"/>
                <w:lang w:val="en-US"/>
              </w:rPr>
            </w:pPr>
            <w:r>
              <w:rPr>
                <w:szCs w:val="24"/>
              </w:rPr>
              <w:t>2730</w:t>
            </w:r>
          </w:p>
        </w:tc>
      </w:tr>
      <w:tr w:rsidR="00AA13B4" w:rsidRPr="00423B0F" w:rsidTr="004A23C8">
        <w:tc>
          <w:tcPr>
            <w:tcW w:w="5920" w:type="dxa"/>
          </w:tcPr>
          <w:p w:rsidR="00AA13B4" w:rsidRPr="00423B0F" w:rsidRDefault="00AA13B4" w:rsidP="00AA13B4">
            <w:pPr>
              <w:jc w:val="both"/>
              <w:rPr>
                <w:szCs w:val="24"/>
                <w:lang w:val="uk-UA"/>
              </w:rPr>
            </w:pPr>
            <w:r w:rsidRPr="00423B0F">
              <w:rPr>
                <w:szCs w:val="24"/>
                <w:lang w:val="uk-UA"/>
              </w:rPr>
              <w:t>Середньорічна кількість акцій (шт.).</w:t>
            </w:r>
          </w:p>
        </w:tc>
        <w:tc>
          <w:tcPr>
            <w:tcW w:w="1123" w:type="dxa"/>
          </w:tcPr>
          <w:p w:rsidR="00AA13B4" w:rsidRPr="0091709F" w:rsidRDefault="0091709F" w:rsidP="00AA13B4">
            <w:pPr>
              <w:jc w:val="center"/>
              <w:rPr>
                <w:szCs w:val="24"/>
                <w:lang w:val="uk-UA"/>
              </w:rPr>
            </w:pPr>
            <w:r>
              <w:rPr>
                <w:szCs w:val="24"/>
                <w:lang w:val="uk-UA"/>
              </w:rPr>
              <w:t>24014</w:t>
            </w:r>
          </w:p>
        </w:tc>
        <w:tc>
          <w:tcPr>
            <w:tcW w:w="1417" w:type="dxa"/>
          </w:tcPr>
          <w:p w:rsidR="00AA13B4" w:rsidRPr="00423B0F" w:rsidRDefault="0024776B" w:rsidP="00AA13B4">
            <w:pPr>
              <w:jc w:val="center"/>
              <w:rPr>
                <w:szCs w:val="24"/>
                <w:lang w:val="en-US"/>
              </w:rPr>
            </w:pPr>
            <w:r>
              <w:rPr>
                <w:szCs w:val="24"/>
              </w:rPr>
              <w:t>24014</w:t>
            </w:r>
          </w:p>
        </w:tc>
      </w:tr>
      <w:tr w:rsidR="00AA13B4" w:rsidRPr="00423B0F" w:rsidTr="004A23C8">
        <w:tc>
          <w:tcPr>
            <w:tcW w:w="5920" w:type="dxa"/>
          </w:tcPr>
          <w:p w:rsidR="00AA13B4" w:rsidRPr="00423B0F" w:rsidRDefault="00AA13B4" w:rsidP="00AA13B4">
            <w:pPr>
              <w:jc w:val="both"/>
              <w:rPr>
                <w:szCs w:val="24"/>
                <w:lang w:val="uk-UA"/>
              </w:rPr>
            </w:pPr>
            <w:r>
              <w:rPr>
                <w:szCs w:val="24"/>
                <w:lang w:val="uk-UA"/>
              </w:rPr>
              <w:t>Чистий прибуток (збиток) на одну просту акцію (грн)</w:t>
            </w:r>
          </w:p>
        </w:tc>
        <w:tc>
          <w:tcPr>
            <w:tcW w:w="1123" w:type="dxa"/>
          </w:tcPr>
          <w:p w:rsidR="00AA13B4" w:rsidRPr="00423B0F" w:rsidRDefault="0006485C" w:rsidP="00AA13B4">
            <w:pPr>
              <w:jc w:val="center"/>
              <w:rPr>
                <w:szCs w:val="24"/>
                <w:lang w:val="uk-UA"/>
              </w:rPr>
            </w:pPr>
            <w:r>
              <w:rPr>
                <w:szCs w:val="24"/>
                <w:lang w:val="uk-UA"/>
              </w:rPr>
              <w:t>46,13</w:t>
            </w:r>
          </w:p>
        </w:tc>
        <w:tc>
          <w:tcPr>
            <w:tcW w:w="1417" w:type="dxa"/>
          </w:tcPr>
          <w:p w:rsidR="00AA13B4" w:rsidRPr="00423B0F" w:rsidRDefault="0024776B" w:rsidP="00AA13B4">
            <w:pPr>
              <w:jc w:val="center"/>
              <w:rPr>
                <w:szCs w:val="24"/>
                <w:lang w:val="uk-UA"/>
              </w:rPr>
            </w:pPr>
            <w:r>
              <w:rPr>
                <w:szCs w:val="24"/>
                <w:lang w:val="uk-UA"/>
              </w:rPr>
              <w:t>113,68</w:t>
            </w:r>
          </w:p>
        </w:tc>
      </w:tr>
    </w:tbl>
    <w:p w:rsidR="00A37C25" w:rsidRPr="00423B0F" w:rsidRDefault="00A37C25" w:rsidP="00202FB3">
      <w:pPr>
        <w:rPr>
          <w:szCs w:val="24"/>
          <w:lang w:val="uk-UA"/>
        </w:rPr>
      </w:pPr>
      <w:r w:rsidRPr="00423B0F">
        <w:rPr>
          <w:szCs w:val="24"/>
          <w:lang w:val="uk-UA"/>
        </w:rPr>
        <w:t>Підтверджую достовірність інформації, що міститься у повідомленні.</w:t>
      </w:r>
    </w:p>
    <w:p w:rsidR="00A37C25" w:rsidRPr="00423B0F" w:rsidRDefault="00A37C25" w:rsidP="00202FB3">
      <w:pPr>
        <w:rPr>
          <w:szCs w:val="24"/>
          <w:lang w:val="uk-UA"/>
        </w:rPr>
      </w:pPr>
    </w:p>
    <w:p w:rsidR="00A37C25" w:rsidRPr="00423B0F" w:rsidRDefault="00EA2AA6" w:rsidP="005D6BE2">
      <w:pPr>
        <w:rPr>
          <w:szCs w:val="24"/>
          <w:lang w:val="uk-UA"/>
        </w:rPr>
      </w:pPr>
      <w:r w:rsidRPr="00423B0F">
        <w:rPr>
          <w:szCs w:val="24"/>
          <w:lang w:val="uk-UA"/>
        </w:rPr>
        <w:t>Директор</w:t>
      </w:r>
      <w:r w:rsidR="00A37C25" w:rsidRPr="00423B0F">
        <w:rPr>
          <w:szCs w:val="24"/>
          <w:lang w:val="uk-UA"/>
        </w:rPr>
        <w:t xml:space="preserve">                                                                                      В.І. </w:t>
      </w:r>
      <w:proofErr w:type="spellStart"/>
      <w:r w:rsidR="00A37C25" w:rsidRPr="00423B0F">
        <w:rPr>
          <w:szCs w:val="24"/>
          <w:lang w:val="uk-UA"/>
        </w:rPr>
        <w:t>Стрельцов</w:t>
      </w:r>
      <w:proofErr w:type="spellEnd"/>
    </w:p>
    <w:p w:rsidR="006C1AAE" w:rsidRPr="00423B0F" w:rsidRDefault="00EA2AA6" w:rsidP="00F96F48">
      <w:pPr>
        <w:rPr>
          <w:szCs w:val="24"/>
          <w:lang w:val="uk-UA"/>
        </w:rPr>
      </w:pPr>
      <w:r w:rsidRPr="00423B0F">
        <w:rPr>
          <w:szCs w:val="24"/>
          <w:lang w:val="uk-UA"/>
        </w:rPr>
        <w:t xml:space="preserve"> ПрАТ «СКВЗ» </w:t>
      </w:r>
    </w:p>
    <w:sectPr w:rsidR="006C1AAE" w:rsidRPr="00423B0F" w:rsidSect="00821F12">
      <w:pgSz w:w="11906" w:h="16838"/>
      <w:pgMar w:top="426" w:right="707"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F8D"/>
    <w:multiLevelType w:val="singleLevel"/>
    <w:tmpl w:val="8C4A870A"/>
    <w:lvl w:ilvl="0">
      <w:start w:val="1"/>
      <w:numFmt w:val="decimal"/>
      <w:lvlText w:val="%1."/>
      <w:lvlJc w:val="left"/>
      <w:pPr>
        <w:tabs>
          <w:tab w:val="num" w:pos="480"/>
        </w:tabs>
        <w:ind w:left="480" w:hanging="360"/>
      </w:pPr>
      <w:rPr>
        <w:rFonts w:hint="default"/>
      </w:rPr>
    </w:lvl>
  </w:abstractNum>
  <w:abstractNum w:abstractNumId="1" w15:restartNumberingAfterBreak="0">
    <w:nsid w:val="0AA812D7"/>
    <w:multiLevelType w:val="multilevel"/>
    <w:tmpl w:val="236688F6"/>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15:restartNumberingAfterBreak="0">
    <w:nsid w:val="0D2F6A5E"/>
    <w:multiLevelType w:val="hybridMultilevel"/>
    <w:tmpl w:val="7112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929B6"/>
    <w:multiLevelType w:val="singleLevel"/>
    <w:tmpl w:val="A720EA1E"/>
    <w:lvl w:ilvl="0">
      <w:start w:val="1"/>
      <w:numFmt w:val="decimal"/>
      <w:lvlText w:val="%1."/>
      <w:lvlJc w:val="left"/>
      <w:pPr>
        <w:tabs>
          <w:tab w:val="num" w:pos="371"/>
        </w:tabs>
        <w:ind w:left="371" w:hanging="360"/>
      </w:pPr>
      <w:rPr>
        <w:rFonts w:hint="default"/>
      </w:rPr>
    </w:lvl>
  </w:abstractNum>
  <w:abstractNum w:abstractNumId="4" w15:restartNumberingAfterBreak="0">
    <w:nsid w:val="13BB1622"/>
    <w:multiLevelType w:val="hybridMultilevel"/>
    <w:tmpl w:val="AEC6827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DC5D7F"/>
    <w:multiLevelType w:val="singleLevel"/>
    <w:tmpl w:val="3D9AC9C4"/>
    <w:lvl w:ilvl="0">
      <w:start w:val="3"/>
      <w:numFmt w:val="bullet"/>
      <w:lvlText w:val="-"/>
      <w:lvlJc w:val="left"/>
      <w:pPr>
        <w:tabs>
          <w:tab w:val="num" w:pos="927"/>
        </w:tabs>
        <w:ind w:left="927" w:hanging="360"/>
      </w:pPr>
      <w:rPr>
        <w:rFonts w:hint="default"/>
      </w:rPr>
    </w:lvl>
  </w:abstractNum>
  <w:abstractNum w:abstractNumId="6" w15:restartNumberingAfterBreak="0">
    <w:nsid w:val="1BD573F3"/>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410F5"/>
    <w:multiLevelType w:val="hybridMultilevel"/>
    <w:tmpl w:val="FA72A2AA"/>
    <w:lvl w:ilvl="0" w:tplc="29B2E1B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F33C5B"/>
    <w:multiLevelType w:val="hybridMultilevel"/>
    <w:tmpl w:val="8998F526"/>
    <w:lvl w:ilvl="0" w:tplc="663462E4">
      <w:start w:val="1"/>
      <w:numFmt w:val="decimal"/>
      <w:lvlText w:val="%1."/>
      <w:lvlJc w:val="left"/>
      <w:pPr>
        <w:ind w:left="720" w:hanging="360"/>
      </w:pPr>
      <w:rPr>
        <w:rFonts w:ascii="Arial" w:hAnsi="Arial" w:cs="Arial"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20011"/>
    <w:multiLevelType w:val="singleLevel"/>
    <w:tmpl w:val="913ACA00"/>
    <w:lvl w:ilvl="0">
      <w:numFmt w:val="bullet"/>
      <w:lvlText w:val="-"/>
      <w:lvlJc w:val="left"/>
      <w:pPr>
        <w:tabs>
          <w:tab w:val="num" w:pos="360"/>
        </w:tabs>
        <w:ind w:left="360" w:hanging="360"/>
      </w:pPr>
      <w:rPr>
        <w:rFonts w:hint="default"/>
      </w:rPr>
    </w:lvl>
  </w:abstractNum>
  <w:abstractNum w:abstractNumId="10" w15:restartNumberingAfterBreak="0">
    <w:nsid w:val="3D28677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4756683B"/>
    <w:multiLevelType w:val="hybridMultilevel"/>
    <w:tmpl w:val="236688F6"/>
    <w:lvl w:ilvl="0" w:tplc="BA6C3DB4">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50A91F04"/>
    <w:multiLevelType w:val="hybridMultilevel"/>
    <w:tmpl w:val="66928254"/>
    <w:lvl w:ilvl="0" w:tplc="7338B61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15:restartNumberingAfterBreak="0">
    <w:nsid w:val="50D53C07"/>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177D8E"/>
    <w:multiLevelType w:val="hybridMultilevel"/>
    <w:tmpl w:val="89BC6050"/>
    <w:lvl w:ilvl="0" w:tplc="AD4844C4">
      <w:numFmt w:val="bullet"/>
      <w:lvlText w:val="-"/>
      <w:lvlJc w:val="left"/>
      <w:pPr>
        <w:ind w:left="1080" w:hanging="360"/>
      </w:pPr>
      <w:rPr>
        <w:rFonts w:ascii="Times New Roman" w:eastAsia="Microsoft Sans Serif"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8201AAA"/>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104B2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2AA5A36"/>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653749CE"/>
    <w:multiLevelType w:val="hybridMultilevel"/>
    <w:tmpl w:val="33CEE80A"/>
    <w:lvl w:ilvl="0" w:tplc="E2EAECC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15:restartNumberingAfterBreak="0">
    <w:nsid w:val="7C3F583F"/>
    <w:multiLevelType w:val="hybridMultilevel"/>
    <w:tmpl w:val="829C257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0"/>
  </w:num>
  <w:num w:numId="4">
    <w:abstractNumId w:val="17"/>
  </w:num>
  <w:num w:numId="5">
    <w:abstractNumId w:val="0"/>
  </w:num>
  <w:num w:numId="6">
    <w:abstractNumId w:val="3"/>
  </w:num>
  <w:num w:numId="7">
    <w:abstractNumId w:val="12"/>
  </w:num>
  <w:num w:numId="8">
    <w:abstractNumId w:val="18"/>
  </w:num>
  <w:num w:numId="9">
    <w:abstractNumId w:val="11"/>
  </w:num>
  <w:num w:numId="10">
    <w:abstractNumId w:val="1"/>
  </w:num>
  <w:num w:numId="11">
    <w:abstractNumId w:val="8"/>
  </w:num>
  <w:num w:numId="12">
    <w:abstractNumId w:val="13"/>
  </w:num>
  <w:num w:numId="13">
    <w:abstractNumId w:val="6"/>
  </w:num>
  <w:num w:numId="14">
    <w:abstractNumId w:val="15"/>
  </w:num>
  <w:num w:numId="15">
    <w:abstractNumId w:val="4"/>
  </w:num>
  <w:num w:numId="16">
    <w:abstractNumId w:val="19"/>
  </w:num>
  <w:num w:numId="17">
    <w:abstractNumId w:val="16"/>
  </w:num>
  <w:num w:numId="18">
    <w:abstractNumId w:val="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2D"/>
    <w:rsid w:val="0002278E"/>
    <w:rsid w:val="00033446"/>
    <w:rsid w:val="000353F9"/>
    <w:rsid w:val="00042E28"/>
    <w:rsid w:val="0006485C"/>
    <w:rsid w:val="0007225E"/>
    <w:rsid w:val="00096850"/>
    <w:rsid w:val="000A309D"/>
    <w:rsid w:val="000C1AAB"/>
    <w:rsid w:val="000C49B4"/>
    <w:rsid w:val="000E5742"/>
    <w:rsid w:val="00101008"/>
    <w:rsid w:val="00117E32"/>
    <w:rsid w:val="00176D43"/>
    <w:rsid w:val="00185278"/>
    <w:rsid w:val="001944F7"/>
    <w:rsid w:val="00195750"/>
    <w:rsid w:val="001B47EC"/>
    <w:rsid w:val="001D1742"/>
    <w:rsid w:val="001E4589"/>
    <w:rsid w:val="001F7F2E"/>
    <w:rsid w:val="00202AAB"/>
    <w:rsid w:val="00202FB3"/>
    <w:rsid w:val="00205873"/>
    <w:rsid w:val="00214D1E"/>
    <w:rsid w:val="00222680"/>
    <w:rsid w:val="00225B7A"/>
    <w:rsid w:val="0024048D"/>
    <w:rsid w:val="0024377F"/>
    <w:rsid w:val="0024776B"/>
    <w:rsid w:val="00267B47"/>
    <w:rsid w:val="002806E1"/>
    <w:rsid w:val="00282741"/>
    <w:rsid w:val="00290070"/>
    <w:rsid w:val="002918C0"/>
    <w:rsid w:val="002A13D4"/>
    <w:rsid w:val="002C7D4C"/>
    <w:rsid w:val="002E6C7A"/>
    <w:rsid w:val="002F2BA3"/>
    <w:rsid w:val="0030064A"/>
    <w:rsid w:val="00315F59"/>
    <w:rsid w:val="00320D52"/>
    <w:rsid w:val="00322809"/>
    <w:rsid w:val="00336BFE"/>
    <w:rsid w:val="00345E3F"/>
    <w:rsid w:val="00367215"/>
    <w:rsid w:val="00373E7B"/>
    <w:rsid w:val="003B45B2"/>
    <w:rsid w:val="003C49EC"/>
    <w:rsid w:val="003E7D18"/>
    <w:rsid w:val="003F650E"/>
    <w:rsid w:val="00423274"/>
    <w:rsid w:val="00423B0F"/>
    <w:rsid w:val="00433989"/>
    <w:rsid w:val="00483BEF"/>
    <w:rsid w:val="004853A1"/>
    <w:rsid w:val="004A088D"/>
    <w:rsid w:val="004A2292"/>
    <w:rsid w:val="004A23C8"/>
    <w:rsid w:val="004C16B8"/>
    <w:rsid w:val="004D6966"/>
    <w:rsid w:val="004E2AB0"/>
    <w:rsid w:val="004F020E"/>
    <w:rsid w:val="00514F1F"/>
    <w:rsid w:val="005254F8"/>
    <w:rsid w:val="00525774"/>
    <w:rsid w:val="00525F09"/>
    <w:rsid w:val="00533BB1"/>
    <w:rsid w:val="0054183E"/>
    <w:rsid w:val="00557F17"/>
    <w:rsid w:val="00563ABD"/>
    <w:rsid w:val="005641F1"/>
    <w:rsid w:val="00570960"/>
    <w:rsid w:val="005713A7"/>
    <w:rsid w:val="00573EEC"/>
    <w:rsid w:val="00582A3C"/>
    <w:rsid w:val="00592299"/>
    <w:rsid w:val="0059536C"/>
    <w:rsid w:val="005B0BA4"/>
    <w:rsid w:val="005B196D"/>
    <w:rsid w:val="005C5911"/>
    <w:rsid w:val="005D4EA3"/>
    <w:rsid w:val="005D6BE2"/>
    <w:rsid w:val="005F6820"/>
    <w:rsid w:val="006052A8"/>
    <w:rsid w:val="00621F6D"/>
    <w:rsid w:val="0064018E"/>
    <w:rsid w:val="00661031"/>
    <w:rsid w:val="006670A9"/>
    <w:rsid w:val="0067288E"/>
    <w:rsid w:val="00673E61"/>
    <w:rsid w:val="00676058"/>
    <w:rsid w:val="006828DD"/>
    <w:rsid w:val="006878E5"/>
    <w:rsid w:val="00690FDE"/>
    <w:rsid w:val="00695045"/>
    <w:rsid w:val="006962EB"/>
    <w:rsid w:val="006969B6"/>
    <w:rsid w:val="00697A39"/>
    <w:rsid w:val="006A6864"/>
    <w:rsid w:val="006C1AAE"/>
    <w:rsid w:val="006C6549"/>
    <w:rsid w:val="00702C00"/>
    <w:rsid w:val="007109D3"/>
    <w:rsid w:val="00717C33"/>
    <w:rsid w:val="00720CB3"/>
    <w:rsid w:val="00720F02"/>
    <w:rsid w:val="007422EB"/>
    <w:rsid w:val="0074702E"/>
    <w:rsid w:val="007710FF"/>
    <w:rsid w:val="0077272D"/>
    <w:rsid w:val="00773E83"/>
    <w:rsid w:val="00794945"/>
    <w:rsid w:val="007B2CFB"/>
    <w:rsid w:val="007C0E1E"/>
    <w:rsid w:val="007C1036"/>
    <w:rsid w:val="007D3811"/>
    <w:rsid w:val="007E0F86"/>
    <w:rsid w:val="00807C17"/>
    <w:rsid w:val="00813F42"/>
    <w:rsid w:val="00821F12"/>
    <w:rsid w:val="00831AC6"/>
    <w:rsid w:val="0083340F"/>
    <w:rsid w:val="00834412"/>
    <w:rsid w:val="0084300F"/>
    <w:rsid w:val="00847152"/>
    <w:rsid w:val="008550C2"/>
    <w:rsid w:val="008668AE"/>
    <w:rsid w:val="00875536"/>
    <w:rsid w:val="0087604D"/>
    <w:rsid w:val="008A24D2"/>
    <w:rsid w:val="008A6779"/>
    <w:rsid w:val="008C4514"/>
    <w:rsid w:val="008C7358"/>
    <w:rsid w:val="008E0EBF"/>
    <w:rsid w:val="008F79FC"/>
    <w:rsid w:val="0090553E"/>
    <w:rsid w:val="0091709F"/>
    <w:rsid w:val="00925FC1"/>
    <w:rsid w:val="00941EAB"/>
    <w:rsid w:val="00953EC6"/>
    <w:rsid w:val="0095631B"/>
    <w:rsid w:val="00961449"/>
    <w:rsid w:val="00981AD0"/>
    <w:rsid w:val="00985697"/>
    <w:rsid w:val="009B123D"/>
    <w:rsid w:val="009B5801"/>
    <w:rsid w:val="009E0C88"/>
    <w:rsid w:val="009E1C23"/>
    <w:rsid w:val="009E5719"/>
    <w:rsid w:val="009F150E"/>
    <w:rsid w:val="009F2AA9"/>
    <w:rsid w:val="00A022D4"/>
    <w:rsid w:val="00A37C25"/>
    <w:rsid w:val="00A51EEA"/>
    <w:rsid w:val="00A538FE"/>
    <w:rsid w:val="00A6257B"/>
    <w:rsid w:val="00A72AA5"/>
    <w:rsid w:val="00A76792"/>
    <w:rsid w:val="00A77921"/>
    <w:rsid w:val="00A80390"/>
    <w:rsid w:val="00A86C1F"/>
    <w:rsid w:val="00A87946"/>
    <w:rsid w:val="00A934B9"/>
    <w:rsid w:val="00A967AB"/>
    <w:rsid w:val="00A968DE"/>
    <w:rsid w:val="00AA13B4"/>
    <w:rsid w:val="00AA37F1"/>
    <w:rsid w:val="00AA7209"/>
    <w:rsid w:val="00AC192E"/>
    <w:rsid w:val="00AE6CEE"/>
    <w:rsid w:val="00B056DA"/>
    <w:rsid w:val="00B11A40"/>
    <w:rsid w:val="00B12B6F"/>
    <w:rsid w:val="00B12C0A"/>
    <w:rsid w:val="00B30FE6"/>
    <w:rsid w:val="00B3464A"/>
    <w:rsid w:val="00B5140C"/>
    <w:rsid w:val="00B61C65"/>
    <w:rsid w:val="00B7267A"/>
    <w:rsid w:val="00B72C39"/>
    <w:rsid w:val="00B83A88"/>
    <w:rsid w:val="00B878FE"/>
    <w:rsid w:val="00BA45E1"/>
    <w:rsid w:val="00BB0B61"/>
    <w:rsid w:val="00BC241D"/>
    <w:rsid w:val="00BC5AF6"/>
    <w:rsid w:val="00BC7DFE"/>
    <w:rsid w:val="00BD3EA6"/>
    <w:rsid w:val="00BD6B7D"/>
    <w:rsid w:val="00BE36C8"/>
    <w:rsid w:val="00BF0BD5"/>
    <w:rsid w:val="00C44550"/>
    <w:rsid w:val="00C46CFF"/>
    <w:rsid w:val="00C539EC"/>
    <w:rsid w:val="00C54EED"/>
    <w:rsid w:val="00CB20AD"/>
    <w:rsid w:val="00CF2DF7"/>
    <w:rsid w:val="00D02524"/>
    <w:rsid w:val="00D040E8"/>
    <w:rsid w:val="00D1417F"/>
    <w:rsid w:val="00D156A9"/>
    <w:rsid w:val="00D24303"/>
    <w:rsid w:val="00D3562A"/>
    <w:rsid w:val="00D41CA6"/>
    <w:rsid w:val="00D5108D"/>
    <w:rsid w:val="00D52981"/>
    <w:rsid w:val="00D60CF0"/>
    <w:rsid w:val="00D63232"/>
    <w:rsid w:val="00D95130"/>
    <w:rsid w:val="00D97326"/>
    <w:rsid w:val="00DA5218"/>
    <w:rsid w:val="00DA6374"/>
    <w:rsid w:val="00DC3685"/>
    <w:rsid w:val="00DF01EA"/>
    <w:rsid w:val="00E1530B"/>
    <w:rsid w:val="00E16744"/>
    <w:rsid w:val="00E21815"/>
    <w:rsid w:val="00E4558F"/>
    <w:rsid w:val="00E54119"/>
    <w:rsid w:val="00E55F08"/>
    <w:rsid w:val="00E5766D"/>
    <w:rsid w:val="00E74D64"/>
    <w:rsid w:val="00E91E2A"/>
    <w:rsid w:val="00E97E78"/>
    <w:rsid w:val="00EA2AA6"/>
    <w:rsid w:val="00ED244D"/>
    <w:rsid w:val="00EF1A11"/>
    <w:rsid w:val="00F000E1"/>
    <w:rsid w:val="00F1446F"/>
    <w:rsid w:val="00F209D7"/>
    <w:rsid w:val="00F217B0"/>
    <w:rsid w:val="00F234E4"/>
    <w:rsid w:val="00F75C04"/>
    <w:rsid w:val="00F83C6D"/>
    <w:rsid w:val="00F969EF"/>
    <w:rsid w:val="00F96F48"/>
    <w:rsid w:val="00FA1434"/>
    <w:rsid w:val="00FD1429"/>
    <w:rsid w:val="00FF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D57B29-FFFD-4816-9A98-DA05D71D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ind w:right="-852"/>
      <w:jc w:val="center"/>
      <w:outlineLvl w:val="1"/>
    </w:pPr>
    <w:rPr>
      <w:b/>
    </w:rPr>
  </w:style>
  <w:style w:type="paragraph" w:styleId="3">
    <w:name w:val="heading 3"/>
    <w:basedOn w:val="a"/>
    <w:next w:val="a"/>
    <w:qFormat/>
    <w:pPr>
      <w:keepNext/>
      <w:outlineLvl w:val="2"/>
    </w:pPr>
    <w:rPr>
      <w:i/>
      <w:color w:val="0000FF"/>
      <w:sz w:val="20"/>
    </w:rPr>
  </w:style>
  <w:style w:type="paragraph" w:styleId="4">
    <w:name w:val="heading 4"/>
    <w:basedOn w:val="a"/>
    <w:next w:val="a"/>
    <w:qFormat/>
    <w:pPr>
      <w:keepNext/>
      <w:tabs>
        <w:tab w:val="left" w:pos="1701"/>
      </w:tabs>
      <w:jc w:val="center"/>
      <w:outlineLvl w:val="3"/>
    </w:pPr>
    <w:rPr>
      <w:b/>
    </w:rPr>
  </w:style>
  <w:style w:type="paragraph" w:styleId="5">
    <w:name w:val="heading 5"/>
    <w:basedOn w:val="a"/>
    <w:next w:val="a"/>
    <w:qFormat/>
    <w:pPr>
      <w:keepNext/>
      <w:tabs>
        <w:tab w:val="left" w:pos="1701"/>
      </w:tabs>
      <w:outlineLvl w:val="4"/>
    </w:pPr>
    <w:rPr>
      <w:b/>
    </w:rPr>
  </w:style>
  <w:style w:type="paragraph" w:styleId="6">
    <w:name w:val="heading 6"/>
    <w:basedOn w:val="a"/>
    <w:next w:val="a"/>
    <w:qFormat/>
    <w:pPr>
      <w:keepNext/>
      <w:tabs>
        <w:tab w:val="left" w:pos="1701"/>
      </w:tabs>
      <w:outlineLvl w:val="5"/>
    </w:pPr>
    <w:rPr>
      <w:b/>
      <w:sz w:val="18"/>
      <w:lang w:val="en-US"/>
    </w:rPr>
  </w:style>
  <w:style w:type="paragraph" w:styleId="7">
    <w:name w:val="heading 7"/>
    <w:basedOn w:val="a"/>
    <w:next w:val="a"/>
    <w:qFormat/>
    <w:pPr>
      <w:keepNext/>
      <w:tabs>
        <w:tab w:val="left" w:pos="1701"/>
      </w:tabs>
      <w:ind w:left="-709" w:right="-427" w:firstLine="567"/>
      <w:outlineLvl w:val="6"/>
    </w:pPr>
    <w:rPr>
      <w:b/>
      <w:sz w:val="20"/>
    </w:rPr>
  </w:style>
  <w:style w:type="paragraph" w:styleId="8">
    <w:name w:val="heading 8"/>
    <w:basedOn w:val="a"/>
    <w:next w:val="a"/>
    <w:qFormat/>
    <w:pPr>
      <w:keepNext/>
      <w:tabs>
        <w:tab w:val="left" w:pos="1701"/>
      </w:tabs>
      <w:ind w:left="-709" w:right="-427" w:firstLine="567"/>
      <w:outlineLvl w:val="7"/>
    </w:pPr>
    <w:rPr>
      <w:b/>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tabs>
        <w:tab w:val="left" w:pos="1701"/>
      </w:tabs>
    </w:pPr>
    <w:rPr>
      <w:b/>
      <w:sz w:val="32"/>
    </w:rPr>
  </w:style>
  <w:style w:type="paragraph" w:styleId="20">
    <w:name w:val="Body Text Indent 2"/>
    <w:basedOn w:val="a"/>
    <w:pPr>
      <w:ind w:left="-709" w:firstLine="709"/>
      <w:jc w:val="both"/>
    </w:pPr>
    <w:rPr>
      <w:sz w:val="28"/>
    </w:rPr>
  </w:style>
  <w:style w:type="paragraph" w:styleId="a3">
    <w:name w:val="Body Text"/>
    <w:basedOn w:val="a"/>
    <w:rPr>
      <w:sz w:val="16"/>
      <w:lang w:val="en-US"/>
    </w:rPr>
  </w:style>
  <w:style w:type="character" w:styleId="a4">
    <w:name w:val="Hyperlink"/>
    <w:rsid w:val="00101008"/>
    <w:rPr>
      <w:color w:val="0000FF"/>
      <w:u w:val="single"/>
    </w:rPr>
  </w:style>
  <w:style w:type="paragraph" w:styleId="a5">
    <w:name w:val="Title"/>
    <w:basedOn w:val="a"/>
    <w:qFormat/>
    <w:rsid w:val="00320D52"/>
    <w:pPr>
      <w:jc w:val="center"/>
    </w:pPr>
    <w:rPr>
      <w:b/>
    </w:rPr>
  </w:style>
  <w:style w:type="paragraph" w:styleId="a6">
    <w:name w:val="Balloon Text"/>
    <w:basedOn w:val="a"/>
    <w:link w:val="a7"/>
    <w:rsid w:val="0067288E"/>
    <w:rPr>
      <w:rFonts w:ascii="Tahoma" w:hAnsi="Tahoma"/>
      <w:sz w:val="16"/>
      <w:szCs w:val="16"/>
    </w:rPr>
  </w:style>
  <w:style w:type="character" w:customStyle="1" w:styleId="a7">
    <w:name w:val="Текст выноски Знак"/>
    <w:link w:val="a6"/>
    <w:rsid w:val="0067288E"/>
    <w:rPr>
      <w:rFonts w:ascii="Tahoma" w:hAnsi="Tahoma" w:cs="Tahoma"/>
      <w:sz w:val="16"/>
      <w:szCs w:val="16"/>
    </w:rPr>
  </w:style>
  <w:style w:type="paragraph" w:styleId="a8">
    <w:name w:val="List Paragraph"/>
    <w:basedOn w:val="a"/>
    <w:uiPriority w:val="34"/>
    <w:qFormat/>
    <w:rsid w:val="007109D3"/>
    <w:pPr>
      <w:spacing w:after="200" w:line="276" w:lineRule="auto"/>
      <w:ind w:left="720"/>
      <w:contextualSpacing/>
    </w:pPr>
    <w:rPr>
      <w:rFonts w:ascii="Calibri" w:hAnsi="Calibri"/>
      <w:sz w:val="22"/>
      <w:szCs w:val="22"/>
    </w:rPr>
  </w:style>
  <w:style w:type="table" w:styleId="a9">
    <w:name w:val="Table Grid"/>
    <w:basedOn w:val="a1"/>
    <w:rsid w:val="00981A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Основной текст (3)_"/>
    <w:basedOn w:val="a0"/>
    <w:link w:val="32"/>
    <w:rsid w:val="00367215"/>
    <w:rPr>
      <w:rFonts w:ascii="Arial" w:eastAsia="Arial" w:hAnsi="Arial" w:cs="Arial"/>
      <w:b/>
      <w:bCs/>
      <w:shd w:val="clear" w:color="auto" w:fill="FFFFFF"/>
    </w:rPr>
  </w:style>
  <w:style w:type="paragraph" w:customStyle="1" w:styleId="32">
    <w:name w:val="Основной текст (3)"/>
    <w:basedOn w:val="a"/>
    <w:link w:val="31"/>
    <w:rsid w:val="00367215"/>
    <w:pPr>
      <w:widowControl w:val="0"/>
      <w:shd w:val="clear" w:color="auto" w:fill="FFFFFF"/>
      <w:spacing w:after="240" w:line="278" w:lineRule="exact"/>
      <w:jc w:val="right"/>
    </w:pPr>
    <w:rPr>
      <w:rFonts w:ascii="Arial" w:eastAsia="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2072">
      <w:bodyDiv w:val="1"/>
      <w:marLeft w:val="0"/>
      <w:marRight w:val="0"/>
      <w:marTop w:val="0"/>
      <w:marBottom w:val="0"/>
      <w:divBdr>
        <w:top w:val="none" w:sz="0" w:space="0" w:color="auto"/>
        <w:left w:val="none" w:sz="0" w:space="0" w:color="auto"/>
        <w:bottom w:val="none" w:sz="0" w:space="0" w:color="auto"/>
        <w:right w:val="none" w:sz="0" w:space="0" w:color="auto"/>
      </w:divBdr>
    </w:div>
    <w:div w:id="355737451">
      <w:bodyDiv w:val="1"/>
      <w:marLeft w:val="0"/>
      <w:marRight w:val="0"/>
      <w:marTop w:val="0"/>
      <w:marBottom w:val="0"/>
      <w:divBdr>
        <w:top w:val="none" w:sz="0" w:space="0" w:color="auto"/>
        <w:left w:val="none" w:sz="0" w:space="0" w:color="auto"/>
        <w:bottom w:val="none" w:sz="0" w:space="0" w:color="auto"/>
        <w:right w:val="none" w:sz="0" w:space="0" w:color="auto"/>
      </w:divBdr>
    </w:div>
    <w:div w:id="4741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vz.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CB308-A6FB-44A2-8E3B-95FA2F7C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1227</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_____________№________</vt:lpstr>
    </vt:vector>
  </TitlesOfParts>
  <Company>ОАО "СМИЗ"</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dc:title>
  <dc:creator>ALEX</dc:creator>
  <cp:lastModifiedBy>Пользователь</cp:lastModifiedBy>
  <cp:revision>8</cp:revision>
  <cp:lastPrinted>2019-03-19T14:09:00Z</cp:lastPrinted>
  <dcterms:created xsi:type="dcterms:W3CDTF">2021-03-01T08:39:00Z</dcterms:created>
  <dcterms:modified xsi:type="dcterms:W3CDTF">2021-04-27T09:42:00Z</dcterms:modified>
</cp:coreProperties>
</file>